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D5C5" w14:textId="77777777" w:rsidR="002F475C" w:rsidRDefault="004A6690" w:rsidP="002F475C">
      <w:pPr>
        <w:pStyle w:val="Heading1"/>
      </w:pPr>
      <w:r>
        <w:t>Sonoma and Marin County Site Visits</w:t>
      </w:r>
    </w:p>
    <w:p w14:paraId="5CE7BF35" w14:textId="77777777" w:rsidR="000733BD" w:rsidRDefault="004A6690" w:rsidP="004A6690">
      <w:pPr>
        <w:pStyle w:val="Heading2"/>
      </w:pPr>
      <w:r>
        <w:t>July 2019</w:t>
      </w:r>
    </w:p>
    <w:p w14:paraId="419F2986" w14:textId="48EAF095" w:rsidR="004A6690" w:rsidRDefault="000965DE" w:rsidP="000965DE">
      <w:r>
        <w:rPr>
          <w:noProof/>
        </w:rPr>
        <w:drawing>
          <wp:anchor distT="0" distB="0" distL="114300" distR="114300" simplePos="0" relativeHeight="251658240" behindDoc="1" locked="0" layoutInCell="1" allowOverlap="1" wp14:anchorId="4C9EF4F2" wp14:editId="0927C068">
            <wp:simplePos x="0" y="0"/>
            <wp:positionH relativeFrom="column">
              <wp:posOffset>3190240</wp:posOffset>
            </wp:positionH>
            <wp:positionV relativeFrom="paragraph">
              <wp:posOffset>629285</wp:posOffset>
            </wp:positionV>
            <wp:extent cx="2790825" cy="1219200"/>
            <wp:effectExtent l="0" t="0" r="0" b="0"/>
            <wp:wrapTight wrapText="bothSides">
              <wp:wrapPolygon edited="0">
                <wp:start x="0" y="0"/>
                <wp:lineTo x="0" y="21263"/>
                <wp:lineTo x="21379" y="21263"/>
                <wp:lineTo x="21379"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972682">
        <w:t xml:space="preserve">Although the site visits were offered to both TC3 and PHASE grantees, the only participants were part of the PHASE program. </w:t>
      </w:r>
      <w:r w:rsidR="004A6690">
        <w:t xml:space="preserve">There </w:t>
      </w:r>
      <w:r w:rsidR="004A6690" w:rsidRPr="00857D84">
        <w:t xml:space="preserve">were </w:t>
      </w:r>
      <w:r w:rsidR="00857D84" w:rsidRPr="00857D84">
        <w:t>17</w:t>
      </w:r>
      <w:r w:rsidR="004A6690">
        <w:t xml:space="preserve"> people who participated, 16 of whom </w:t>
      </w:r>
      <w:r w:rsidR="005B03EA">
        <w:t>completed the</w:t>
      </w:r>
      <w:r w:rsidR="004A6690">
        <w:t xml:space="preserve"> survey. </w:t>
      </w:r>
      <w:r w:rsidR="004A6690" w:rsidRPr="000965DE">
        <w:rPr>
          <w:rFonts w:asciiTheme="majorHAnsi" w:hAnsiTheme="majorHAnsi"/>
          <w:color w:val="0079B5" w:themeColor="accent1"/>
        </w:rPr>
        <w:t>Participants had an overall excellent experience at the site visits</w:t>
      </w:r>
      <w:r w:rsidR="004A6690">
        <w:t>.</w:t>
      </w:r>
      <w:r>
        <w:t xml:space="preserve"> </w:t>
      </w:r>
      <w:r w:rsidR="005B03EA">
        <w:t xml:space="preserve">Only three respondents said their experience was “very good,” or only “good.” </w:t>
      </w:r>
    </w:p>
    <w:p w14:paraId="1208C848" w14:textId="77777777" w:rsidR="004A6690" w:rsidRPr="004A6690" w:rsidRDefault="000965DE" w:rsidP="004A6690">
      <w:r>
        <w:t xml:space="preserve">Participants agreed that both the site visit and the afternoon debrief session were valuable uses of time. The most valued parts of the day were overwhelmingly the site visit and the cross-site learning that occurred there. </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503"/>
      </w:tblGrid>
      <w:tr w:rsidR="004A6690" w14:paraId="398146DC" w14:textId="77777777" w:rsidTr="00B76100">
        <w:trPr>
          <w:trHeight w:val="576"/>
        </w:trPr>
        <w:tc>
          <w:tcPr>
            <w:tcW w:w="4032" w:type="dxa"/>
          </w:tcPr>
          <w:p w14:paraId="75F83A62" w14:textId="77777777" w:rsidR="004A6690" w:rsidRDefault="004A6690" w:rsidP="00B76100"/>
        </w:tc>
        <w:tc>
          <w:tcPr>
            <w:tcW w:w="5503" w:type="dxa"/>
            <w:vMerge w:val="restart"/>
          </w:tcPr>
          <w:p w14:paraId="4EE4C5B3" w14:textId="77777777" w:rsidR="004A6690" w:rsidRPr="002868D7" w:rsidRDefault="004A6690" w:rsidP="00B76100">
            <w:pPr>
              <w:rPr>
                <w:rFonts w:cs="Arial"/>
              </w:rPr>
            </w:pPr>
            <w:r w:rsidRPr="002868D7">
              <w:rPr>
                <w:rFonts w:cs="Arial"/>
                <w:noProof/>
              </w:rPr>
              <w:drawing>
                <wp:inline distT="0" distB="0" distL="0" distR="0" wp14:anchorId="550D1D1D" wp14:editId="7322B860">
                  <wp:extent cx="3354070" cy="3562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4A6690" w14:paraId="5FC87944" w14:textId="77777777" w:rsidTr="00B76100">
        <w:trPr>
          <w:trHeight w:val="620"/>
        </w:trPr>
        <w:tc>
          <w:tcPr>
            <w:tcW w:w="4032" w:type="dxa"/>
            <w:tcBorders>
              <w:bottom w:val="single" w:sz="4" w:space="0" w:color="0079B5" w:themeColor="accent1"/>
            </w:tcBorders>
            <w:vAlign w:val="center"/>
          </w:tcPr>
          <w:p w14:paraId="2F882FCD" w14:textId="77777777" w:rsidR="004A6690" w:rsidRDefault="000965DE" w:rsidP="00B76100">
            <w:bookmarkStart w:id="0" w:name="_Hlk13821928"/>
            <w:r w:rsidRPr="000965DE">
              <w:t>The site visit was a valuable use of my time.</w:t>
            </w:r>
          </w:p>
        </w:tc>
        <w:tc>
          <w:tcPr>
            <w:tcW w:w="5503" w:type="dxa"/>
            <w:vMerge/>
          </w:tcPr>
          <w:p w14:paraId="169EA910" w14:textId="77777777" w:rsidR="004A6690" w:rsidRDefault="004A6690" w:rsidP="00B76100"/>
        </w:tc>
      </w:tr>
      <w:tr w:rsidR="004A6690" w14:paraId="09C68577" w14:textId="77777777" w:rsidTr="00B76100">
        <w:trPr>
          <w:trHeight w:val="719"/>
        </w:trPr>
        <w:tc>
          <w:tcPr>
            <w:tcW w:w="4032" w:type="dxa"/>
            <w:tcBorders>
              <w:top w:val="single" w:sz="4" w:space="0" w:color="0079B5" w:themeColor="accent1"/>
              <w:bottom w:val="single" w:sz="4" w:space="0" w:color="0079B5" w:themeColor="accent1"/>
            </w:tcBorders>
            <w:vAlign w:val="center"/>
          </w:tcPr>
          <w:p w14:paraId="28E11739" w14:textId="77777777" w:rsidR="004A6690" w:rsidRDefault="000965DE" w:rsidP="00B76100">
            <w:r w:rsidRPr="000965DE">
              <w:t>The site visit host demonstrated processes, methods, or best practices and didn’t only talk theoretically.</w:t>
            </w:r>
          </w:p>
        </w:tc>
        <w:tc>
          <w:tcPr>
            <w:tcW w:w="5503" w:type="dxa"/>
            <w:vMerge/>
          </w:tcPr>
          <w:p w14:paraId="5E44A04D" w14:textId="77777777" w:rsidR="004A6690" w:rsidRDefault="004A6690" w:rsidP="00B76100"/>
        </w:tc>
      </w:tr>
      <w:tr w:rsidR="004A6690" w14:paraId="4B073320" w14:textId="77777777" w:rsidTr="000965DE">
        <w:trPr>
          <w:trHeight w:val="749"/>
        </w:trPr>
        <w:tc>
          <w:tcPr>
            <w:tcW w:w="4032" w:type="dxa"/>
            <w:tcBorders>
              <w:top w:val="single" w:sz="4" w:space="0" w:color="0079B5" w:themeColor="accent1"/>
              <w:bottom w:val="single" w:sz="4" w:space="0" w:color="0079B5" w:themeColor="accent1"/>
            </w:tcBorders>
            <w:vAlign w:val="center"/>
          </w:tcPr>
          <w:p w14:paraId="1FFAD164" w14:textId="77777777" w:rsidR="004A6690" w:rsidRDefault="000965DE" w:rsidP="00B76100">
            <w:r w:rsidRPr="000965DE">
              <w:t>I learned something today that I will apply to my own work.</w:t>
            </w:r>
          </w:p>
        </w:tc>
        <w:tc>
          <w:tcPr>
            <w:tcW w:w="5503" w:type="dxa"/>
            <w:vMerge/>
          </w:tcPr>
          <w:p w14:paraId="743FB4C7" w14:textId="77777777" w:rsidR="004A6690" w:rsidRDefault="004A6690" w:rsidP="00B76100"/>
        </w:tc>
      </w:tr>
      <w:tr w:rsidR="004A6690" w14:paraId="16B43EE4" w14:textId="77777777" w:rsidTr="000965DE">
        <w:trPr>
          <w:trHeight w:val="794"/>
        </w:trPr>
        <w:tc>
          <w:tcPr>
            <w:tcW w:w="4032" w:type="dxa"/>
            <w:tcBorders>
              <w:top w:val="single" w:sz="4" w:space="0" w:color="0079B5" w:themeColor="accent1"/>
              <w:bottom w:val="single" w:sz="4" w:space="0" w:color="0079B5" w:themeColor="accent1"/>
            </w:tcBorders>
            <w:vAlign w:val="center"/>
          </w:tcPr>
          <w:p w14:paraId="6E411DC7" w14:textId="77777777" w:rsidR="004A6690" w:rsidRDefault="000965DE" w:rsidP="00B76100">
            <w:r w:rsidRPr="000965DE">
              <w:t>The afternoon debrief session was a valuable use of my time.</w:t>
            </w:r>
          </w:p>
        </w:tc>
        <w:tc>
          <w:tcPr>
            <w:tcW w:w="5503" w:type="dxa"/>
            <w:vMerge/>
          </w:tcPr>
          <w:p w14:paraId="53203C40" w14:textId="77777777" w:rsidR="004A6690" w:rsidRDefault="004A6690" w:rsidP="00B76100"/>
        </w:tc>
      </w:tr>
      <w:tr w:rsidR="004A6690" w14:paraId="5488E9EA" w14:textId="77777777" w:rsidTr="00B76100">
        <w:trPr>
          <w:trHeight w:val="719"/>
        </w:trPr>
        <w:tc>
          <w:tcPr>
            <w:tcW w:w="4032" w:type="dxa"/>
            <w:tcBorders>
              <w:top w:val="single" w:sz="4" w:space="0" w:color="0079B5" w:themeColor="accent1"/>
              <w:bottom w:val="single" w:sz="4" w:space="0" w:color="0079B5" w:themeColor="accent1"/>
            </w:tcBorders>
            <w:vAlign w:val="center"/>
          </w:tcPr>
          <w:p w14:paraId="1BDD69ED" w14:textId="77777777" w:rsidR="004A6690" w:rsidRDefault="000965DE" w:rsidP="00B76100">
            <w:r>
              <w:t>I made connections today with other grantees that will strengthen my team’s PHASE efforts. (n=15)</w:t>
            </w:r>
          </w:p>
        </w:tc>
        <w:tc>
          <w:tcPr>
            <w:tcW w:w="5503" w:type="dxa"/>
            <w:vMerge/>
          </w:tcPr>
          <w:p w14:paraId="18356C50" w14:textId="77777777" w:rsidR="004A6690" w:rsidRDefault="004A6690" w:rsidP="00B76100"/>
        </w:tc>
      </w:tr>
      <w:tr w:rsidR="004A6690" w14:paraId="6FF4B332" w14:textId="77777777" w:rsidTr="00B76100">
        <w:tc>
          <w:tcPr>
            <w:tcW w:w="4032" w:type="dxa"/>
            <w:tcBorders>
              <w:top w:val="single" w:sz="4" w:space="0" w:color="0079B5" w:themeColor="accent1"/>
            </w:tcBorders>
            <w:vAlign w:val="center"/>
          </w:tcPr>
          <w:p w14:paraId="2382A055" w14:textId="77777777" w:rsidR="004A6690" w:rsidRDefault="000965DE" w:rsidP="00B76100">
            <w:r>
              <w:t>I feel confident in my next steps to implement something that I learned today.</w:t>
            </w:r>
          </w:p>
        </w:tc>
        <w:tc>
          <w:tcPr>
            <w:tcW w:w="5503" w:type="dxa"/>
            <w:vMerge/>
          </w:tcPr>
          <w:p w14:paraId="654DAD0D" w14:textId="77777777" w:rsidR="004A6690" w:rsidRDefault="004A6690" w:rsidP="00B76100"/>
        </w:tc>
      </w:tr>
      <w:bookmarkEnd w:id="0"/>
      <w:tr w:rsidR="004A6690" w:rsidRPr="00755232" w14:paraId="353DFC51" w14:textId="77777777" w:rsidTr="00B76100">
        <w:trPr>
          <w:trHeight w:val="53"/>
        </w:trPr>
        <w:tc>
          <w:tcPr>
            <w:tcW w:w="4032" w:type="dxa"/>
          </w:tcPr>
          <w:p w14:paraId="198B7F73" w14:textId="77777777" w:rsidR="004A6690" w:rsidRPr="00755232" w:rsidRDefault="004A6690" w:rsidP="00B76100">
            <w:pPr>
              <w:rPr>
                <w:sz w:val="14"/>
                <w:szCs w:val="14"/>
              </w:rPr>
            </w:pPr>
          </w:p>
        </w:tc>
        <w:tc>
          <w:tcPr>
            <w:tcW w:w="5503" w:type="dxa"/>
            <w:vMerge/>
          </w:tcPr>
          <w:p w14:paraId="17A5230A" w14:textId="77777777" w:rsidR="004A6690" w:rsidRPr="00755232" w:rsidRDefault="004A6690" w:rsidP="00B76100">
            <w:pPr>
              <w:rPr>
                <w:sz w:val="14"/>
                <w:szCs w:val="14"/>
              </w:rPr>
            </w:pPr>
          </w:p>
        </w:tc>
      </w:tr>
    </w:tbl>
    <w:p w14:paraId="2605866B" w14:textId="77777777" w:rsidR="00AA66CD" w:rsidRDefault="000F1F5A" w:rsidP="00AA66CD">
      <w:r>
        <w:t xml:space="preserve">In general, participants felt prepared for the site visits – most respondents either left the question for suggestions to increase preparedness blank or said “none” or “N/A.” In terms of improving the site visits, respondents said that it would be useful to know more about the clinic prior to the site visit (e.g., patient population size, why the site was selected). Additionally, there was a desire for more materials in advance of the site visit – as well as follow-up summary after the site visit. </w:t>
      </w:r>
    </w:p>
    <w:p w14:paraId="3D028C4A" w14:textId="77777777" w:rsidR="000F1F5A" w:rsidRDefault="000F1F5A" w:rsidP="00AA66CD">
      <w:r>
        <w:lastRenderedPageBreak/>
        <w:t>There is a desire for more site visits, whether in the form of longer visits, more frequent visits, or ability to have two visits in one day. A lesson learned from a planning perspective is that participants (both verbally in the debrief session and in the survey) wished they had brought a wider array of team members to the site. Logistically, it seemed that there were mixed thoughts on whether it was good to have the debrief at a different site than the site visit location.</w:t>
      </w:r>
      <w:r w:rsidR="00FC438A">
        <w:t xml:space="preserve"> Two people suggested having a larger room or round tables to better facilitate participation in the debrief. Because there were still site-specific questions participants had, it was suggested that there be a representative from the visited site present at the debrief.</w:t>
      </w:r>
    </w:p>
    <w:p w14:paraId="25CCCF6C" w14:textId="77777777" w:rsidR="00AA66CD" w:rsidRPr="00090BD3" w:rsidRDefault="00972682" w:rsidP="00090BD3">
      <w:pPr>
        <w:rPr>
          <w:rFonts w:asciiTheme="majorHAnsi" w:hAnsiTheme="majorHAnsi"/>
          <w:color w:val="0079B5" w:themeColor="accent1"/>
        </w:rPr>
      </w:pPr>
      <w:r w:rsidRPr="00972682">
        <w:rPr>
          <w:rFonts w:asciiTheme="majorHAnsi" w:hAnsiTheme="majorHAnsi"/>
          <w:color w:val="0079B5" w:themeColor="accent1"/>
        </w:rPr>
        <w:t>Please see next page for summary of site visits.</w:t>
      </w:r>
      <w:r w:rsidR="00AA66C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12"/>
        <w:gridCol w:w="360"/>
        <w:gridCol w:w="236"/>
        <w:gridCol w:w="5802"/>
      </w:tblGrid>
      <w:tr w:rsidR="00E524CE" w:rsidRPr="00501F85" w14:paraId="1D242A05" w14:textId="77777777" w:rsidTr="000F1F5A">
        <w:tc>
          <w:tcPr>
            <w:tcW w:w="2962" w:type="dxa"/>
            <w:gridSpan w:val="2"/>
          </w:tcPr>
          <w:p w14:paraId="3D3E2239" w14:textId="77777777" w:rsidR="00E524CE" w:rsidRPr="00501F85" w:rsidRDefault="00E524CE" w:rsidP="00AA66CD">
            <w:pPr>
              <w:rPr>
                <w:b/>
                <w:sz w:val="20"/>
                <w:szCs w:val="20"/>
              </w:rPr>
            </w:pPr>
            <w:r w:rsidRPr="00501F85">
              <w:rPr>
                <w:b/>
                <w:color w:val="0079B5" w:themeColor="accent1"/>
                <w:sz w:val="20"/>
                <w:szCs w:val="20"/>
              </w:rPr>
              <w:lastRenderedPageBreak/>
              <w:t xml:space="preserve">Marin </w:t>
            </w:r>
            <w:r w:rsidR="00C631C9" w:rsidRPr="00501F85">
              <w:rPr>
                <w:b/>
                <w:color w:val="0079B5" w:themeColor="accent1"/>
                <w:sz w:val="20"/>
                <w:szCs w:val="20"/>
              </w:rPr>
              <w:t>C</w:t>
            </w:r>
            <w:r w:rsidRPr="00501F85">
              <w:rPr>
                <w:b/>
                <w:color w:val="0079B5" w:themeColor="accent1"/>
                <w:sz w:val="20"/>
                <w:szCs w:val="20"/>
              </w:rPr>
              <w:t xml:space="preserve">ommunity </w:t>
            </w:r>
            <w:r w:rsidR="00C631C9" w:rsidRPr="00501F85">
              <w:rPr>
                <w:b/>
                <w:color w:val="0079B5" w:themeColor="accent1"/>
                <w:sz w:val="20"/>
                <w:szCs w:val="20"/>
              </w:rPr>
              <w:t>C</w:t>
            </w:r>
            <w:r w:rsidRPr="00501F85">
              <w:rPr>
                <w:b/>
                <w:color w:val="0079B5" w:themeColor="accent1"/>
                <w:sz w:val="20"/>
                <w:szCs w:val="20"/>
              </w:rPr>
              <w:t>linics</w:t>
            </w:r>
          </w:p>
        </w:tc>
        <w:tc>
          <w:tcPr>
            <w:tcW w:w="360" w:type="dxa"/>
          </w:tcPr>
          <w:p w14:paraId="13B3C332" w14:textId="77777777" w:rsidR="00E524CE" w:rsidRPr="00501F85" w:rsidRDefault="00E524CE" w:rsidP="00AA66CD">
            <w:pPr>
              <w:rPr>
                <w:b/>
                <w:sz w:val="20"/>
                <w:szCs w:val="20"/>
              </w:rPr>
            </w:pPr>
          </w:p>
        </w:tc>
        <w:tc>
          <w:tcPr>
            <w:tcW w:w="6038" w:type="dxa"/>
            <w:gridSpan w:val="2"/>
          </w:tcPr>
          <w:p w14:paraId="72540A83" w14:textId="77777777" w:rsidR="00E524CE" w:rsidRPr="00501F85" w:rsidRDefault="00E524CE" w:rsidP="00AA66CD">
            <w:pPr>
              <w:rPr>
                <w:b/>
                <w:sz w:val="20"/>
                <w:szCs w:val="20"/>
              </w:rPr>
            </w:pPr>
            <w:r w:rsidRPr="00501F85">
              <w:rPr>
                <w:color w:val="0079B5" w:themeColor="accent1"/>
                <w:sz w:val="20"/>
                <w:szCs w:val="20"/>
              </w:rPr>
              <w:t xml:space="preserve">Participants saw: </w:t>
            </w:r>
            <w:r w:rsidRPr="00501F85">
              <w:rPr>
                <w:color w:val="000000" w:themeColor="text1"/>
                <w:sz w:val="20"/>
                <w:szCs w:val="20"/>
              </w:rPr>
              <w:t>“</w:t>
            </w:r>
            <w:proofErr w:type="spellStart"/>
            <w:r w:rsidRPr="00501F85">
              <w:rPr>
                <w:color w:val="000000" w:themeColor="text1"/>
                <w:sz w:val="20"/>
                <w:szCs w:val="20"/>
              </w:rPr>
              <w:t>teamlet</w:t>
            </w:r>
            <w:proofErr w:type="spellEnd"/>
            <w:r w:rsidRPr="00501F85">
              <w:rPr>
                <w:color w:val="000000" w:themeColor="text1"/>
                <w:sz w:val="20"/>
                <w:szCs w:val="20"/>
              </w:rPr>
              <w:t>” panel management huddle</w:t>
            </w:r>
          </w:p>
        </w:tc>
      </w:tr>
      <w:tr w:rsidR="00E524CE" w:rsidRPr="00501F85" w14:paraId="5C6DA4D7" w14:textId="77777777" w:rsidTr="000F1F5A">
        <w:tc>
          <w:tcPr>
            <w:tcW w:w="450" w:type="dxa"/>
          </w:tcPr>
          <w:p w14:paraId="0F6CC0FC" w14:textId="77777777" w:rsidR="00E524CE" w:rsidRPr="00501F85" w:rsidRDefault="00E524CE" w:rsidP="00AA66CD">
            <w:pPr>
              <w:rPr>
                <w:sz w:val="20"/>
                <w:szCs w:val="20"/>
              </w:rPr>
            </w:pPr>
          </w:p>
        </w:tc>
        <w:tc>
          <w:tcPr>
            <w:tcW w:w="2512" w:type="dxa"/>
          </w:tcPr>
          <w:p w14:paraId="5A343BBE" w14:textId="77777777" w:rsidR="00E524CE" w:rsidRPr="00501F85" w:rsidRDefault="00E524CE" w:rsidP="00AA66CD">
            <w:pPr>
              <w:rPr>
                <w:sz w:val="20"/>
                <w:szCs w:val="20"/>
              </w:rPr>
            </w:pPr>
            <w:r w:rsidRPr="00501F85">
              <w:rPr>
                <w:color w:val="0079B5" w:themeColor="accent1"/>
                <w:sz w:val="20"/>
                <w:szCs w:val="20"/>
              </w:rPr>
              <w:t xml:space="preserve">38,000 </w:t>
            </w:r>
            <w:r w:rsidRPr="00501F85">
              <w:rPr>
                <w:sz w:val="20"/>
                <w:szCs w:val="20"/>
              </w:rPr>
              <w:t>patients</w:t>
            </w:r>
          </w:p>
        </w:tc>
        <w:tc>
          <w:tcPr>
            <w:tcW w:w="360" w:type="dxa"/>
          </w:tcPr>
          <w:p w14:paraId="20E4CAB5" w14:textId="77777777" w:rsidR="00E524CE" w:rsidRPr="00501F85" w:rsidRDefault="00E524CE" w:rsidP="00AA66CD">
            <w:pPr>
              <w:rPr>
                <w:sz w:val="20"/>
                <w:szCs w:val="20"/>
              </w:rPr>
            </w:pPr>
          </w:p>
        </w:tc>
        <w:tc>
          <w:tcPr>
            <w:tcW w:w="236" w:type="dxa"/>
          </w:tcPr>
          <w:p w14:paraId="04413DB3" w14:textId="77777777" w:rsidR="00E524CE" w:rsidRPr="00501F85" w:rsidRDefault="00E524CE" w:rsidP="00AA66CD">
            <w:pPr>
              <w:rPr>
                <w:sz w:val="20"/>
                <w:szCs w:val="20"/>
              </w:rPr>
            </w:pPr>
          </w:p>
        </w:tc>
        <w:tc>
          <w:tcPr>
            <w:tcW w:w="5802" w:type="dxa"/>
          </w:tcPr>
          <w:p w14:paraId="55E8BB7E" w14:textId="77777777" w:rsidR="00E524CE" w:rsidRPr="00501F85" w:rsidRDefault="00E524CE" w:rsidP="00AA66CD">
            <w:pPr>
              <w:rPr>
                <w:sz w:val="20"/>
                <w:szCs w:val="20"/>
              </w:rPr>
            </w:pPr>
            <w:r w:rsidRPr="00501F85">
              <w:rPr>
                <w:sz w:val="20"/>
                <w:szCs w:val="20"/>
              </w:rPr>
              <w:t>A-ha moments:</w:t>
            </w:r>
          </w:p>
        </w:tc>
      </w:tr>
      <w:tr w:rsidR="00E524CE" w:rsidRPr="00501F85" w14:paraId="077B75B0" w14:textId="77777777" w:rsidTr="000F1F5A">
        <w:tc>
          <w:tcPr>
            <w:tcW w:w="450" w:type="dxa"/>
          </w:tcPr>
          <w:p w14:paraId="7559C4AA" w14:textId="77777777" w:rsidR="00E524CE" w:rsidRPr="00501F85" w:rsidRDefault="00E524CE" w:rsidP="00AA66CD">
            <w:pPr>
              <w:rPr>
                <w:sz w:val="20"/>
                <w:szCs w:val="20"/>
              </w:rPr>
            </w:pPr>
          </w:p>
        </w:tc>
        <w:tc>
          <w:tcPr>
            <w:tcW w:w="2512" w:type="dxa"/>
          </w:tcPr>
          <w:p w14:paraId="0FDA9191" w14:textId="77777777" w:rsidR="00E524CE" w:rsidRPr="00501F85" w:rsidRDefault="00E524CE" w:rsidP="00AA66CD">
            <w:pPr>
              <w:rPr>
                <w:color w:val="0079B5" w:themeColor="accent1"/>
                <w:sz w:val="20"/>
                <w:szCs w:val="20"/>
              </w:rPr>
            </w:pPr>
            <w:r w:rsidRPr="00501F85">
              <w:rPr>
                <w:color w:val="0079B5" w:themeColor="accent1"/>
                <w:sz w:val="20"/>
                <w:szCs w:val="20"/>
              </w:rPr>
              <w:t xml:space="preserve">5 </w:t>
            </w:r>
            <w:r w:rsidRPr="00501F85">
              <w:rPr>
                <w:sz w:val="20"/>
                <w:szCs w:val="20"/>
              </w:rPr>
              <w:t>primary care clinics</w:t>
            </w:r>
          </w:p>
        </w:tc>
        <w:tc>
          <w:tcPr>
            <w:tcW w:w="360" w:type="dxa"/>
          </w:tcPr>
          <w:p w14:paraId="4F0F190E" w14:textId="77777777" w:rsidR="00E524CE" w:rsidRPr="00501F85" w:rsidRDefault="00E524CE" w:rsidP="00AA66CD">
            <w:pPr>
              <w:rPr>
                <w:color w:val="0079B5" w:themeColor="accent1"/>
                <w:sz w:val="20"/>
                <w:szCs w:val="20"/>
              </w:rPr>
            </w:pPr>
          </w:p>
        </w:tc>
        <w:tc>
          <w:tcPr>
            <w:tcW w:w="236" w:type="dxa"/>
          </w:tcPr>
          <w:p w14:paraId="1140FC77" w14:textId="77777777" w:rsidR="00E524CE" w:rsidRPr="00501F85" w:rsidRDefault="00E524CE" w:rsidP="00AA66CD">
            <w:pPr>
              <w:rPr>
                <w:color w:val="0079B5" w:themeColor="accent1"/>
                <w:sz w:val="20"/>
                <w:szCs w:val="20"/>
              </w:rPr>
            </w:pPr>
          </w:p>
        </w:tc>
        <w:tc>
          <w:tcPr>
            <w:tcW w:w="5802" w:type="dxa"/>
          </w:tcPr>
          <w:p w14:paraId="0522148F" w14:textId="77777777" w:rsidR="00E524CE" w:rsidRPr="00501F85" w:rsidRDefault="00E524CE" w:rsidP="00E524CE">
            <w:pPr>
              <w:pStyle w:val="ListParagraph"/>
              <w:numPr>
                <w:ilvl w:val="0"/>
                <w:numId w:val="8"/>
              </w:numPr>
              <w:rPr>
                <w:color w:val="0079B5" w:themeColor="accent1"/>
                <w:sz w:val="20"/>
                <w:szCs w:val="20"/>
              </w:rPr>
            </w:pPr>
            <w:proofErr w:type="spellStart"/>
            <w:r w:rsidRPr="00501F85">
              <w:rPr>
                <w:sz w:val="20"/>
                <w:szCs w:val="20"/>
              </w:rPr>
              <w:t>Teamlets</w:t>
            </w:r>
            <w:proofErr w:type="spellEnd"/>
            <w:r w:rsidRPr="00501F85">
              <w:rPr>
                <w:sz w:val="20"/>
                <w:szCs w:val="20"/>
              </w:rPr>
              <w:t xml:space="preserve"> have protected time for QI</w:t>
            </w:r>
          </w:p>
        </w:tc>
      </w:tr>
      <w:tr w:rsidR="00E524CE" w:rsidRPr="00501F85" w14:paraId="1C5786C3" w14:textId="77777777" w:rsidTr="000F1F5A">
        <w:tc>
          <w:tcPr>
            <w:tcW w:w="3322" w:type="dxa"/>
            <w:gridSpan w:val="3"/>
            <w:vMerge w:val="restart"/>
            <w:vAlign w:val="bottom"/>
          </w:tcPr>
          <w:p w14:paraId="265E9C35" w14:textId="77777777" w:rsidR="00E524CE" w:rsidRPr="00501F85" w:rsidRDefault="00E524CE" w:rsidP="00E524CE">
            <w:pPr>
              <w:rPr>
                <w:color w:val="0079B5" w:themeColor="accent1"/>
                <w:sz w:val="20"/>
                <w:szCs w:val="20"/>
              </w:rPr>
            </w:pPr>
            <w:r w:rsidRPr="00501F85">
              <w:rPr>
                <w:noProof/>
                <w:sz w:val="20"/>
                <w:szCs w:val="20"/>
              </w:rPr>
              <w:drawing>
                <wp:inline distT="0" distB="0" distL="0" distR="0" wp14:anchorId="160828B9" wp14:editId="520EFFC5">
                  <wp:extent cx="1828800" cy="9748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00" cy="974822"/>
                          </a:xfrm>
                          <a:prstGeom prst="rect">
                            <a:avLst/>
                          </a:prstGeom>
                        </pic:spPr>
                      </pic:pic>
                    </a:graphicData>
                  </a:graphic>
                </wp:inline>
              </w:drawing>
            </w:r>
          </w:p>
        </w:tc>
        <w:tc>
          <w:tcPr>
            <w:tcW w:w="236" w:type="dxa"/>
          </w:tcPr>
          <w:p w14:paraId="169B6ABC" w14:textId="77777777" w:rsidR="00E524CE" w:rsidRPr="00501F85" w:rsidRDefault="00E524CE" w:rsidP="00AA66CD">
            <w:pPr>
              <w:rPr>
                <w:color w:val="0079B5" w:themeColor="accent1"/>
                <w:sz w:val="20"/>
                <w:szCs w:val="20"/>
              </w:rPr>
            </w:pPr>
          </w:p>
        </w:tc>
        <w:tc>
          <w:tcPr>
            <w:tcW w:w="5802" w:type="dxa"/>
          </w:tcPr>
          <w:p w14:paraId="635A5ABA" w14:textId="77777777" w:rsidR="00E524CE" w:rsidRPr="00501F85" w:rsidRDefault="00E524CE" w:rsidP="00E524CE">
            <w:pPr>
              <w:pStyle w:val="ListParagraph"/>
              <w:numPr>
                <w:ilvl w:val="0"/>
                <w:numId w:val="8"/>
              </w:numPr>
              <w:rPr>
                <w:sz w:val="20"/>
                <w:szCs w:val="20"/>
              </w:rPr>
            </w:pPr>
            <w:r w:rsidRPr="00501F85">
              <w:rPr>
                <w:sz w:val="20"/>
                <w:szCs w:val="20"/>
              </w:rPr>
              <w:t>Data are publicly shared, e.g., provider report cards</w:t>
            </w:r>
          </w:p>
        </w:tc>
      </w:tr>
      <w:tr w:rsidR="00E524CE" w:rsidRPr="00501F85" w14:paraId="5CDD501A" w14:textId="77777777" w:rsidTr="000F1F5A">
        <w:tc>
          <w:tcPr>
            <w:tcW w:w="3322" w:type="dxa"/>
            <w:gridSpan w:val="3"/>
            <w:vMerge/>
          </w:tcPr>
          <w:p w14:paraId="64D99D9C" w14:textId="77777777" w:rsidR="00E524CE" w:rsidRPr="00501F85" w:rsidRDefault="00E524CE" w:rsidP="00AA66CD">
            <w:pPr>
              <w:rPr>
                <w:color w:val="0079B5" w:themeColor="accent1"/>
                <w:sz w:val="20"/>
                <w:szCs w:val="20"/>
              </w:rPr>
            </w:pPr>
          </w:p>
        </w:tc>
        <w:tc>
          <w:tcPr>
            <w:tcW w:w="236" w:type="dxa"/>
          </w:tcPr>
          <w:p w14:paraId="0B806169" w14:textId="77777777" w:rsidR="00E524CE" w:rsidRPr="00501F85" w:rsidRDefault="00E524CE" w:rsidP="00AA66CD">
            <w:pPr>
              <w:rPr>
                <w:color w:val="0079B5" w:themeColor="accent1"/>
                <w:sz w:val="20"/>
                <w:szCs w:val="20"/>
              </w:rPr>
            </w:pPr>
          </w:p>
        </w:tc>
        <w:tc>
          <w:tcPr>
            <w:tcW w:w="5802" w:type="dxa"/>
          </w:tcPr>
          <w:p w14:paraId="5725B6A9" w14:textId="77777777" w:rsidR="00E524CE" w:rsidRPr="00501F85" w:rsidRDefault="00C631C9" w:rsidP="00E524CE">
            <w:pPr>
              <w:pStyle w:val="ListParagraph"/>
              <w:numPr>
                <w:ilvl w:val="0"/>
                <w:numId w:val="8"/>
              </w:numPr>
              <w:rPr>
                <w:sz w:val="20"/>
                <w:szCs w:val="20"/>
              </w:rPr>
            </w:pPr>
            <w:r w:rsidRPr="00501F85">
              <w:rPr>
                <w:sz w:val="20"/>
                <w:szCs w:val="20"/>
              </w:rPr>
              <w:t>Teams r</w:t>
            </w:r>
            <w:r w:rsidR="00E524CE" w:rsidRPr="00501F85">
              <w:rPr>
                <w:sz w:val="20"/>
                <w:szCs w:val="20"/>
              </w:rPr>
              <w:t>egularly review Missed Opportunity Report to address care gaps</w:t>
            </w:r>
          </w:p>
        </w:tc>
      </w:tr>
      <w:tr w:rsidR="00E524CE" w:rsidRPr="00501F85" w14:paraId="4E9A8DBE" w14:textId="77777777" w:rsidTr="000F1F5A">
        <w:tc>
          <w:tcPr>
            <w:tcW w:w="3322" w:type="dxa"/>
            <w:gridSpan w:val="3"/>
            <w:vMerge/>
          </w:tcPr>
          <w:p w14:paraId="3156E610" w14:textId="77777777" w:rsidR="00E524CE" w:rsidRPr="00501F85" w:rsidRDefault="00E524CE" w:rsidP="00AA66CD">
            <w:pPr>
              <w:rPr>
                <w:color w:val="0079B5" w:themeColor="accent1"/>
                <w:sz w:val="20"/>
                <w:szCs w:val="20"/>
              </w:rPr>
            </w:pPr>
          </w:p>
        </w:tc>
        <w:tc>
          <w:tcPr>
            <w:tcW w:w="236" w:type="dxa"/>
          </w:tcPr>
          <w:p w14:paraId="6DC4CDE0" w14:textId="77777777" w:rsidR="00E524CE" w:rsidRPr="00501F85" w:rsidRDefault="00E524CE" w:rsidP="00AA66CD">
            <w:pPr>
              <w:rPr>
                <w:color w:val="0079B5" w:themeColor="accent1"/>
                <w:sz w:val="20"/>
                <w:szCs w:val="20"/>
              </w:rPr>
            </w:pPr>
          </w:p>
        </w:tc>
        <w:tc>
          <w:tcPr>
            <w:tcW w:w="5802" w:type="dxa"/>
          </w:tcPr>
          <w:p w14:paraId="321AF0F4" w14:textId="77777777" w:rsidR="00E524CE" w:rsidRPr="00501F85" w:rsidRDefault="00E524CE" w:rsidP="00E524CE">
            <w:pPr>
              <w:pStyle w:val="ListParagraph"/>
              <w:numPr>
                <w:ilvl w:val="0"/>
                <w:numId w:val="8"/>
              </w:numPr>
              <w:rPr>
                <w:sz w:val="20"/>
                <w:szCs w:val="20"/>
              </w:rPr>
            </w:pPr>
            <w:r w:rsidRPr="00501F85">
              <w:rPr>
                <w:sz w:val="20"/>
                <w:szCs w:val="20"/>
              </w:rPr>
              <w:t>Collaboration with Health Plan can support unbillable protected QI time</w:t>
            </w:r>
            <w:r w:rsidR="00501F85">
              <w:rPr>
                <w:sz w:val="20"/>
                <w:szCs w:val="20"/>
              </w:rPr>
              <w:t>, especially</w:t>
            </w:r>
            <w:r w:rsidRPr="00501F85">
              <w:rPr>
                <w:sz w:val="20"/>
                <w:szCs w:val="20"/>
              </w:rPr>
              <w:t xml:space="preserve"> if there are incentives for quality over productivity</w:t>
            </w:r>
          </w:p>
        </w:tc>
      </w:tr>
      <w:tr w:rsidR="00501F85" w:rsidRPr="00501F85" w14:paraId="2EC4E563" w14:textId="77777777" w:rsidTr="000F1F5A">
        <w:trPr>
          <w:trHeight w:val="20"/>
        </w:trPr>
        <w:tc>
          <w:tcPr>
            <w:tcW w:w="2962" w:type="dxa"/>
            <w:gridSpan w:val="2"/>
            <w:shd w:val="clear" w:color="auto" w:fill="F2F2F2" w:themeFill="background1" w:themeFillShade="F2"/>
          </w:tcPr>
          <w:p w14:paraId="1A3C8858" w14:textId="77777777" w:rsidR="00501F85" w:rsidRPr="00501F85" w:rsidRDefault="00501F85" w:rsidP="00501F85">
            <w:pPr>
              <w:spacing w:line="240" w:lineRule="auto"/>
              <w:rPr>
                <w:b/>
                <w:color w:val="0079B5" w:themeColor="accent1"/>
                <w:sz w:val="16"/>
                <w:szCs w:val="16"/>
              </w:rPr>
            </w:pPr>
          </w:p>
        </w:tc>
        <w:tc>
          <w:tcPr>
            <w:tcW w:w="360" w:type="dxa"/>
            <w:shd w:val="clear" w:color="auto" w:fill="F2F2F2" w:themeFill="background1" w:themeFillShade="F2"/>
          </w:tcPr>
          <w:p w14:paraId="1F47550A" w14:textId="77777777" w:rsidR="00501F85" w:rsidRPr="00501F85" w:rsidRDefault="00501F85" w:rsidP="00501F85">
            <w:pPr>
              <w:spacing w:line="240" w:lineRule="auto"/>
              <w:rPr>
                <w:b/>
                <w:sz w:val="16"/>
                <w:szCs w:val="16"/>
              </w:rPr>
            </w:pPr>
          </w:p>
        </w:tc>
        <w:tc>
          <w:tcPr>
            <w:tcW w:w="6038" w:type="dxa"/>
            <w:gridSpan w:val="2"/>
            <w:shd w:val="clear" w:color="auto" w:fill="F2F2F2" w:themeFill="background1" w:themeFillShade="F2"/>
          </w:tcPr>
          <w:p w14:paraId="0E961589" w14:textId="77777777" w:rsidR="00501F85" w:rsidRPr="00501F85" w:rsidRDefault="00501F85" w:rsidP="00501F85">
            <w:pPr>
              <w:spacing w:line="240" w:lineRule="auto"/>
              <w:rPr>
                <w:color w:val="0079B5" w:themeColor="accent1"/>
                <w:sz w:val="16"/>
                <w:szCs w:val="16"/>
              </w:rPr>
            </w:pPr>
          </w:p>
        </w:tc>
      </w:tr>
      <w:tr w:rsidR="00DE500D" w:rsidRPr="00501F85" w14:paraId="3BB01A27" w14:textId="77777777" w:rsidTr="000F1F5A">
        <w:tc>
          <w:tcPr>
            <w:tcW w:w="2962" w:type="dxa"/>
            <w:gridSpan w:val="2"/>
          </w:tcPr>
          <w:p w14:paraId="52A0DEC8" w14:textId="77777777" w:rsidR="00C631C9" w:rsidRPr="00501F85" w:rsidRDefault="00C631C9" w:rsidP="00CE5EEC">
            <w:pPr>
              <w:rPr>
                <w:b/>
                <w:sz w:val="20"/>
                <w:szCs w:val="20"/>
              </w:rPr>
            </w:pPr>
            <w:r w:rsidRPr="00501F85">
              <w:rPr>
                <w:b/>
                <w:color w:val="0079B5" w:themeColor="accent1"/>
                <w:sz w:val="20"/>
                <w:szCs w:val="20"/>
              </w:rPr>
              <w:t>Petaluma Health Center</w:t>
            </w:r>
          </w:p>
        </w:tc>
        <w:tc>
          <w:tcPr>
            <w:tcW w:w="360" w:type="dxa"/>
          </w:tcPr>
          <w:p w14:paraId="008F7401" w14:textId="77777777" w:rsidR="00C631C9" w:rsidRPr="00501F85" w:rsidRDefault="00C631C9" w:rsidP="00CE5EEC">
            <w:pPr>
              <w:rPr>
                <w:b/>
                <w:sz w:val="20"/>
                <w:szCs w:val="20"/>
              </w:rPr>
            </w:pPr>
          </w:p>
        </w:tc>
        <w:tc>
          <w:tcPr>
            <w:tcW w:w="6038" w:type="dxa"/>
            <w:gridSpan w:val="2"/>
          </w:tcPr>
          <w:p w14:paraId="1A61F992" w14:textId="77777777" w:rsidR="00C631C9" w:rsidRPr="00501F85" w:rsidRDefault="00C631C9" w:rsidP="00CE5EEC">
            <w:pPr>
              <w:rPr>
                <w:b/>
                <w:sz w:val="20"/>
                <w:szCs w:val="20"/>
              </w:rPr>
            </w:pPr>
            <w:r w:rsidRPr="00501F85">
              <w:rPr>
                <w:color w:val="0079B5" w:themeColor="accent1"/>
                <w:sz w:val="20"/>
                <w:szCs w:val="20"/>
              </w:rPr>
              <w:t xml:space="preserve">Participants saw: </w:t>
            </w:r>
            <w:r w:rsidRPr="00501F85">
              <w:rPr>
                <w:color w:val="000000" w:themeColor="text1"/>
                <w:sz w:val="20"/>
                <w:szCs w:val="20"/>
              </w:rPr>
              <w:t>care team huddle and call center</w:t>
            </w:r>
          </w:p>
        </w:tc>
      </w:tr>
      <w:tr w:rsidR="00C631C9" w:rsidRPr="00501F85" w14:paraId="4031952D" w14:textId="77777777" w:rsidTr="000F1F5A">
        <w:tc>
          <w:tcPr>
            <w:tcW w:w="450" w:type="dxa"/>
          </w:tcPr>
          <w:p w14:paraId="6DE80D6A" w14:textId="77777777" w:rsidR="00C631C9" w:rsidRPr="00501F85" w:rsidRDefault="00C631C9" w:rsidP="00CE5EEC">
            <w:pPr>
              <w:rPr>
                <w:sz w:val="20"/>
                <w:szCs w:val="20"/>
              </w:rPr>
            </w:pPr>
          </w:p>
        </w:tc>
        <w:tc>
          <w:tcPr>
            <w:tcW w:w="2512" w:type="dxa"/>
          </w:tcPr>
          <w:p w14:paraId="7A578959" w14:textId="77777777" w:rsidR="00C631C9" w:rsidRPr="00501F85" w:rsidRDefault="00C631C9" w:rsidP="00CE5EEC">
            <w:pPr>
              <w:rPr>
                <w:sz w:val="20"/>
                <w:szCs w:val="20"/>
              </w:rPr>
            </w:pPr>
            <w:r w:rsidRPr="00501F85">
              <w:rPr>
                <w:color w:val="0079B5" w:themeColor="accent1"/>
                <w:sz w:val="20"/>
                <w:szCs w:val="20"/>
              </w:rPr>
              <w:t xml:space="preserve">32,000 </w:t>
            </w:r>
            <w:r w:rsidRPr="00501F85">
              <w:rPr>
                <w:sz w:val="20"/>
                <w:szCs w:val="20"/>
              </w:rPr>
              <w:t>patients</w:t>
            </w:r>
          </w:p>
        </w:tc>
        <w:tc>
          <w:tcPr>
            <w:tcW w:w="360" w:type="dxa"/>
          </w:tcPr>
          <w:p w14:paraId="0B3D26A1" w14:textId="77777777" w:rsidR="00C631C9" w:rsidRPr="00501F85" w:rsidRDefault="00C631C9" w:rsidP="00CE5EEC">
            <w:pPr>
              <w:rPr>
                <w:sz w:val="20"/>
                <w:szCs w:val="20"/>
              </w:rPr>
            </w:pPr>
          </w:p>
        </w:tc>
        <w:tc>
          <w:tcPr>
            <w:tcW w:w="236" w:type="dxa"/>
          </w:tcPr>
          <w:p w14:paraId="43FF9560" w14:textId="77777777" w:rsidR="00C631C9" w:rsidRPr="00501F85" w:rsidRDefault="00C631C9" w:rsidP="00CE5EEC">
            <w:pPr>
              <w:rPr>
                <w:sz w:val="20"/>
                <w:szCs w:val="20"/>
              </w:rPr>
            </w:pPr>
          </w:p>
        </w:tc>
        <w:tc>
          <w:tcPr>
            <w:tcW w:w="5802" w:type="dxa"/>
          </w:tcPr>
          <w:p w14:paraId="3F126821" w14:textId="77777777" w:rsidR="00C631C9" w:rsidRPr="00501F85" w:rsidRDefault="00C631C9" w:rsidP="00CE5EEC">
            <w:pPr>
              <w:rPr>
                <w:sz w:val="20"/>
                <w:szCs w:val="20"/>
              </w:rPr>
            </w:pPr>
            <w:r w:rsidRPr="00501F85">
              <w:rPr>
                <w:sz w:val="20"/>
                <w:szCs w:val="20"/>
              </w:rPr>
              <w:t>A-ha moments:</w:t>
            </w:r>
          </w:p>
        </w:tc>
      </w:tr>
      <w:tr w:rsidR="00C631C9" w:rsidRPr="00501F85" w14:paraId="1D603ABB" w14:textId="77777777" w:rsidTr="000F1F5A">
        <w:tc>
          <w:tcPr>
            <w:tcW w:w="450" w:type="dxa"/>
          </w:tcPr>
          <w:p w14:paraId="4934BB5C" w14:textId="77777777" w:rsidR="00C631C9" w:rsidRPr="00501F85" w:rsidRDefault="00C631C9" w:rsidP="00CE5EEC">
            <w:pPr>
              <w:rPr>
                <w:sz w:val="20"/>
                <w:szCs w:val="20"/>
              </w:rPr>
            </w:pPr>
          </w:p>
        </w:tc>
        <w:tc>
          <w:tcPr>
            <w:tcW w:w="2512" w:type="dxa"/>
          </w:tcPr>
          <w:p w14:paraId="0704945D" w14:textId="77777777" w:rsidR="00C631C9" w:rsidRPr="00501F85" w:rsidRDefault="00C631C9" w:rsidP="00CE5EEC">
            <w:pPr>
              <w:rPr>
                <w:color w:val="0079B5" w:themeColor="accent1"/>
                <w:sz w:val="20"/>
                <w:szCs w:val="20"/>
              </w:rPr>
            </w:pPr>
            <w:r w:rsidRPr="00501F85">
              <w:rPr>
                <w:color w:val="0079B5" w:themeColor="accent1"/>
                <w:sz w:val="20"/>
                <w:szCs w:val="20"/>
              </w:rPr>
              <w:t xml:space="preserve">5 </w:t>
            </w:r>
            <w:r w:rsidRPr="00501F85">
              <w:rPr>
                <w:sz w:val="20"/>
                <w:szCs w:val="20"/>
              </w:rPr>
              <w:t>primary care clinics</w:t>
            </w:r>
          </w:p>
        </w:tc>
        <w:tc>
          <w:tcPr>
            <w:tcW w:w="360" w:type="dxa"/>
          </w:tcPr>
          <w:p w14:paraId="55BC6264" w14:textId="77777777" w:rsidR="00C631C9" w:rsidRPr="00501F85" w:rsidRDefault="00C631C9" w:rsidP="00CE5EEC">
            <w:pPr>
              <w:rPr>
                <w:color w:val="0079B5" w:themeColor="accent1"/>
                <w:sz w:val="20"/>
                <w:szCs w:val="20"/>
              </w:rPr>
            </w:pPr>
          </w:p>
        </w:tc>
        <w:tc>
          <w:tcPr>
            <w:tcW w:w="236" w:type="dxa"/>
          </w:tcPr>
          <w:p w14:paraId="37176F6B" w14:textId="77777777" w:rsidR="00C631C9" w:rsidRPr="00501F85" w:rsidRDefault="00C631C9" w:rsidP="00CE5EEC">
            <w:pPr>
              <w:rPr>
                <w:color w:val="0079B5" w:themeColor="accent1"/>
                <w:sz w:val="20"/>
                <w:szCs w:val="20"/>
              </w:rPr>
            </w:pPr>
          </w:p>
        </w:tc>
        <w:tc>
          <w:tcPr>
            <w:tcW w:w="5802" w:type="dxa"/>
          </w:tcPr>
          <w:p w14:paraId="191A3497" w14:textId="77777777" w:rsidR="00C631C9" w:rsidRPr="00501F85" w:rsidRDefault="00C631C9" w:rsidP="00CE5EEC">
            <w:pPr>
              <w:pStyle w:val="ListParagraph"/>
              <w:numPr>
                <w:ilvl w:val="0"/>
                <w:numId w:val="8"/>
              </w:numPr>
              <w:rPr>
                <w:color w:val="000000" w:themeColor="text1"/>
                <w:sz w:val="20"/>
                <w:szCs w:val="20"/>
              </w:rPr>
            </w:pPr>
            <w:r w:rsidRPr="00501F85">
              <w:rPr>
                <w:color w:val="000000" w:themeColor="text1"/>
                <w:sz w:val="20"/>
                <w:szCs w:val="20"/>
              </w:rPr>
              <w:t>Huddle TV shows information on opportunities / available appointment slots</w:t>
            </w:r>
          </w:p>
        </w:tc>
      </w:tr>
      <w:tr w:rsidR="00C631C9" w:rsidRPr="00501F85" w14:paraId="53C76AE6" w14:textId="77777777" w:rsidTr="000F1F5A">
        <w:tc>
          <w:tcPr>
            <w:tcW w:w="3322" w:type="dxa"/>
            <w:gridSpan w:val="3"/>
            <w:vMerge w:val="restart"/>
          </w:tcPr>
          <w:p w14:paraId="0FB9E26A" w14:textId="77777777" w:rsidR="00C631C9" w:rsidRPr="00501F85" w:rsidRDefault="00C631C9" w:rsidP="00C631C9">
            <w:pPr>
              <w:rPr>
                <w:color w:val="0079B5" w:themeColor="accent1"/>
                <w:sz w:val="20"/>
                <w:szCs w:val="20"/>
              </w:rPr>
            </w:pPr>
            <w:r w:rsidRPr="00501F85">
              <w:rPr>
                <w:noProof/>
                <w:sz w:val="20"/>
                <w:szCs w:val="20"/>
              </w:rPr>
              <w:drawing>
                <wp:inline distT="0" distB="0" distL="0" distR="0" wp14:anchorId="24771C1C" wp14:editId="087E1519">
                  <wp:extent cx="1645920" cy="94612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45920" cy="946125"/>
                          </a:xfrm>
                          <a:prstGeom prst="rect">
                            <a:avLst/>
                          </a:prstGeom>
                        </pic:spPr>
                      </pic:pic>
                    </a:graphicData>
                  </a:graphic>
                </wp:inline>
              </w:drawing>
            </w:r>
          </w:p>
        </w:tc>
        <w:tc>
          <w:tcPr>
            <w:tcW w:w="236" w:type="dxa"/>
          </w:tcPr>
          <w:p w14:paraId="692FC51C" w14:textId="77777777" w:rsidR="00C631C9" w:rsidRPr="00501F85" w:rsidRDefault="00C631C9" w:rsidP="00CE5EEC">
            <w:pPr>
              <w:rPr>
                <w:color w:val="0079B5" w:themeColor="accent1"/>
                <w:sz w:val="20"/>
                <w:szCs w:val="20"/>
              </w:rPr>
            </w:pPr>
          </w:p>
        </w:tc>
        <w:tc>
          <w:tcPr>
            <w:tcW w:w="5802" w:type="dxa"/>
            <w:vMerge w:val="restart"/>
          </w:tcPr>
          <w:p w14:paraId="68A9C3BF" w14:textId="77777777" w:rsidR="00C631C9" w:rsidRPr="00501F85" w:rsidRDefault="00C631C9" w:rsidP="00CE5EEC">
            <w:pPr>
              <w:pStyle w:val="ListParagraph"/>
              <w:numPr>
                <w:ilvl w:val="0"/>
                <w:numId w:val="8"/>
              </w:numPr>
              <w:rPr>
                <w:color w:val="000000" w:themeColor="text1"/>
                <w:sz w:val="20"/>
                <w:szCs w:val="20"/>
              </w:rPr>
            </w:pPr>
            <w:r w:rsidRPr="00501F85">
              <w:rPr>
                <w:color w:val="000000" w:themeColor="text1"/>
                <w:sz w:val="20"/>
                <w:szCs w:val="20"/>
              </w:rPr>
              <w:t xml:space="preserve">Care team includes provider, MA, MA float, float coordinator, RN, shared RN, referral coordinator, health information coordinator, and pharmacy </w:t>
            </w:r>
          </w:p>
        </w:tc>
      </w:tr>
      <w:tr w:rsidR="00C631C9" w:rsidRPr="00501F85" w14:paraId="033FA36A" w14:textId="77777777" w:rsidTr="000F1F5A">
        <w:tc>
          <w:tcPr>
            <w:tcW w:w="3322" w:type="dxa"/>
            <w:gridSpan w:val="3"/>
            <w:vMerge/>
          </w:tcPr>
          <w:p w14:paraId="245CE4B4" w14:textId="77777777" w:rsidR="00C631C9" w:rsidRPr="00501F85" w:rsidRDefault="00C631C9" w:rsidP="00CE5EEC">
            <w:pPr>
              <w:rPr>
                <w:color w:val="0079B5" w:themeColor="accent1"/>
                <w:sz w:val="20"/>
                <w:szCs w:val="20"/>
              </w:rPr>
            </w:pPr>
          </w:p>
        </w:tc>
        <w:tc>
          <w:tcPr>
            <w:tcW w:w="236" w:type="dxa"/>
          </w:tcPr>
          <w:p w14:paraId="1ABE9D7E" w14:textId="77777777" w:rsidR="00C631C9" w:rsidRPr="00501F85" w:rsidRDefault="00C631C9" w:rsidP="00CE5EEC">
            <w:pPr>
              <w:rPr>
                <w:color w:val="0079B5" w:themeColor="accent1"/>
                <w:sz w:val="20"/>
                <w:szCs w:val="20"/>
              </w:rPr>
            </w:pPr>
          </w:p>
        </w:tc>
        <w:tc>
          <w:tcPr>
            <w:tcW w:w="5802" w:type="dxa"/>
            <w:vMerge/>
          </w:tcPr>
          <w:p w14:paraId="1DACA4EC" w14:textId="77777777" w:rsidR="00C631C9" w:rsidRPr="00501F85" w:rsidRDefault="00C631C9" w:rsidP="00CE5EEC">
            <w:pPr>
              <w:pStyle w:val="ListParagraph"/>
              <w:numPr>
                <w:ilvl w:val="0"/>
                <w:numId w:val="8"/>
              </w:numPr>
              <w:rPr>
                <w:color w:val="000000" w:themeColor="text1"/>
                <w:sz w:val="20"/>
                <w:szCs w:val="20"/>
              </w:rPr>
            </w:pPr>
          </w:p>
        </w:tc>
      </w:tr>
      <w:tr w:rsidR="00DE500D" w:rsidRPr="00501F85" w14:paraId="18E1313A" w14:textId="77777777" w:rsidTr="000F1F5A">
        <w:tc>
          <w:tcPr>
            <w:tcW w:w="3322" w:type="dxa"/>
            <w:gridSpan w:val="3"/>
            <w:vMerge/>
          </w:tcPr>
          <w:p w14:paraId="3B6CDD65" w14:textId="77777777" w:rsidR="00C631C9" w:rsidRPr="00501F85" w:rsidRDefault="00C631C9" w:rsidP="00CE5EEC">
            <w:pPr>
              <w:rPr>
                <w:color w:val="0079B5" w:themeColor="accent1"/>
                <w:sz w:val="20"/>
                <w:szCs w:val="20"/>
              </w:rPr>
            </w:pPr>
          </w:p>
        </w:tc>
        <w:tc>
          <w:tcPr>
            <w:tcW w:w="236" w:type="dxa"/>
          </w:tcPr>
          <w:p w14:paraId="5A7634E6" w14:textId="77777777" w:rsidR="00C631C9" w:rsidRPr="00501F85" w:rsidRDefault="00C631C9" w:rsidP="00CE5EEC">
            <w:pPr>
              <w:rPr>
                <w:color w:val="0079B5" w:themeColor="accent1"/>
                <w:sz w:val="20"/>
                <w:szCs w:val="20"/>
              </w:rPr>
            </w:pPr>
          </w:p>
        </w:tc>
        <w:tc>
          <w:tcPr>
            <w:tcW w:w="5802" w:type="dxa"/>
          </w:tcPr>
          <w:p w14:paraId="03D837CC" w14:textId="77777777" w:rsidR="00C631C9" w:rsidRPr="00501F85" w:rsidRDefault="00C631C9" w:rsidP="00CE5EEC">
            <w:pPr>
              <w:pStyle w:val="ListParagraph"/>
              <w:numPr>
                <w:ilvl w:val="0"/>
                <w:numId w:val="8"/>
              </w:numPr>
              <w:rPr>
                <w:color w:val="000000" w:themeColor="text1"/>
                <w:sz w:val="20"/>
                <w:szCs w:val="20"/>
              </w:rPr>
            </w:pPr>
            <w:r w:rsidRPr="00501F85">
              <w:rPr>
                <w:color w:val="000000" w:themeColor="text1"/>
                <w:sz w:val="20"/>
                <w:szCs w:val="20"/>
              </w:rPr>
              <w:t xml:space="preserve">Call center </w:t>
            </w:r>
            <w:r w:rsidR="00DE500D">
              <w:rPr>
                <w:color w:val="000000" w:themeColor="text1"/>
                <w:sz w:val="20"/>
                <w:szCs w:val="20"/>
              </w:rPr>
              <w:t>has</w:t>
            </w:r>
            <w:r w:rsidRPr="00501F85">
              <w:rPr>
                <w:color w:val="000000" w:themeColor="text1"/>
                <w:sz w:val="20"/>
                <w:szCs w:val="20"/>
              </w:rPr>
              <w:t xml:space="preserve"> time for optimization of scheduling </w:t>
            </w:r>
            <w:r w:rsidR="00DE500D">
              <w:rPr>
                <w:color w:val="000000" w:themeColor="text1"/>
                <w:sz w:val="20"/>
                <w:szCs w:val="20"/>
              </w:rPr>
              <w:t>&amp;</w:t>
            </w:r>
            <w:r w:rsidRPr="00501F85">
              <w:rPr>
                <w:color w:val="000000" w:themeColor="text1"/>
                <w:sz w:val="20"/>
                <w:szCs w:val="20"/>
              </w:rPr>
              <w:t xml:space="preserve"> doing outbound calls </w:t>
            </w:r>
          </w:p>
        </w:tc>
      </w:tr>
      <w:tr w:rsidR="00C631C9" w:rsidRPr="00501F85" w14:paraId="3029EC97" w14:textId="77777777" w:rsidTr="000F1F5A">
        <w:tc>
          <w:tcPr>
            <w:tcW w:w="3322" w:type="dxa"/>
            <w:gridSpan w:val="3"/>
          </w:tcPr>
          <w:p w14:paraId="122A46AE" w14:textId="77777777" w:rsidR="00C631C9" w:rsidRPr="00501F85" w:rsidRDefault="00C631C9" w:rsidP="00CE5EEC">
            <w:pPr>
              <w:rPr>
                <w:color w:val="0079B5" w:themeColor="accent1"/>
                <w:sz w:val="20"/>
                <w:szCs w:val="20"/>
              </w:rPr>
            </w:pPr>
          </w:p>
        </w:tc>
        <w:tc>
          <w:tcPr>
            <w:tcW w:w="236" w:type="dxa"/>
          </w:tcPr>
          <w:p w14:paraId="7AE6350F" w14:textId="77777777" w:rsidR="00C631C9" w:rsidRPr="00501F85" w:rsidRDefault="00C631C9" w:rsidP="00CE5EEC">
            <w:pPr>
              <w:rPr>
                <w:color w:val="0079B5" w:themeColor="accent1"/>
                <w:sz w:val="20"/>
                <w:szCs w:val="20"/>
              </w:rPr>
            </w:pPr>
          </w:p>
        </w:tc>
        <w:tc>
          <w:tcPr>
            <w:tcW w:w="5802" w:type="dxa"/>
          </w:tcPr>
          <w:p w14:paraId="6C8E74F6" w14:textId="77777777" w:rsidR="00C631C9" w:rsidRPr="00501F85" w:rsidRDefault="00C631C9" w:rsidP="00CE5EEC">
            <w:pPr>
              <w:pStyle w:val="ListParagraph"/>
              <w:numPr>
                <w:ilvl w:val="0"/>
                <w:numId w:val="8"/>
              </w:numPr>
              <w:rPr>
                <w:sz w:val="20"/>
                <w:szCs w:val="20"/>
              </w:rPr>
            </w:pPr>
            <w:r w:rsidRPr="00501F85">
              <w:rPr>
                <w:sz w:val="20"/>
                <w:szCs w:val="20"/>
              </w:rPr>
              <w:t>There is a PHASE champion provider on each team to help with buy-in and drive improvement</w:t>
            </w:r>
          </w:p>
        </w:tc>
      </w:tr>
      <w:tr w:rsidR="00501F85" w:rsidRPr="00501F85" w14:paraId="47E215C7" w14:textId="77777777" w:rsidTr="000F1F5A">
        <w:tc>
          <w:tcPr>
            <w:tcW w:w="2962" w:type="dxa"/>
            <w:gridSpan w:val="2"/>
            <w:shd w:val="clear" w:color="auto" w:fill="F2F2F2" w:themeFill="background1" w:themeFillShade="F2"/>
          </w:tcPr>
          <w:p w14:paraId="536633FF" w14:textId="77777777" w:rsidR="00501F85" w:rsidRPr="00501F85" w:rsidRDefault="00501F85" w:rsidP="00501F85">
            <w:pPr>
              <w:spacing w:line="240" w:lineRule="auto"/>
              <w:rPr>
                <w:b/>
                <w:color w:val="0079B5" w:themeColor="accent1"/>
                <w:sz w:val="16"/>
                <w:szCs w:val="16"/>
              </w:rPr>
            </w:pPr>
          </w:p>
        </w:tc>
        <w:tc>
          <w:tcPr>
            <w:tcW w:w="360" w:type="dxa"/>
            <w:shd w:val="clear" w:color="auto" w:fill="F2F2F2" w:themeFill="background1" w:themeFillShade="F2"/>
          </w:tcPr>
          <w:p w14:paraId="12E5A0FF" w14:textId="77777777" w:rsidR="00501F85" w:rsidRPr="00501F85" w:rsidRDefault="00501F85" w:rsidP="00501F85">
            <w:pPr>
              <w:spacing w:line="240" w:lineRule="auto"/>
              <w:rPr>
                <w:b/>
                <w:sz w:val="16"/>
                <w:szCs w:val="16"/>
              </w:rPr>
            </w:pPr>
          </w:p>
        </w:tc>
        <w:tc>
          <w:tcPr>
            <w:tcW w:w="6038" w:type="dxa"/>
            <w:gridSpan w:val="2"/>
            <w:shd w:val="clear" w:color="auto" w:fill="F2F2F2" w:themeFill="background1" w:themeFillShade="F2"/>
          </w:tcPr>
          <w:p w14:paraId="0E5E0492" w14:textId="77777777" w:rsidR="00501F85" w:rsidRPr="00501F85" w:rsidRDefault="00501F85" w:rsidP="00501F85">
            <w:pPr>
              <w:spacing w:line="240" w:lineRule="auto"/>
              <w:rPr>
                <w:color w:val="0079B5" w:themeColor="accent1"/>
                <w:sz w:val="16"/>
                <w:szCs w:val="16"/>
              </w:rPr>
            </w:pPr>
          </w:p>
        </w:tc>
      </w:tr>
      <w:tr w:rsidR="00DE500D" w:rsidRPr="00501F85" w14:paraId="08FF46C8" w14:textId="77777777" w:rsidTr="000F1F5A">
        <w:trPr>
          <w:trHeight w:val="308"/>
        </w:trPr>
        <w:tc>
          <w:tcPr>
            <w:tcW w:w="2962" w:type="dxa"/>
            <w:gridSpan w:val="2"/>
            <w:vMerge w:val="restart"/>
          </w:tcPr>
          <w:p w14:paraId="476A4ABC" w14:textId="77777777" w:rsidR="00DE500D" w:rsidRPr="00501F85" w:rsidRDefault="00DE500D" w:rsidP="00CE5EEC">
            <w:pPr>
              <w:rPr>
                <w:b/>
                <w:sz w:val="20"/>
                <w:szCs w:val="20"/>
              </w:rPr>
            </w:pPr>
            <w:r w:rsidRPr="00501F85">
              <w:rPr>
                <w:b/>
                <w:color w:val="0079B5" w:themeColor="accent1"/>
                <w:sz w:val="20"/>
                <w:szCs w:val="20"/>
              </w:rPr>
              <w:t>Sonoma County Indian Health Project</w:t>
            </w:r>
          </w:p>
        </w:tc>
        <w:tc>
          <w:tcPr>
            <w:tcW w:w="360" w:type="dxa"/>
            <w:vMerge w:val="restart"/>
          </w:tcPr>
          <w:p w14:paraId="53C1E729" w14:textId="77777777" w:rsidR="00DE500D" w:rsidRPr="00501F85" w:rsidRDefault="00DE500D" w:rsidP="00CE5EEC">
            <w:pPr>
              <w:rPr>
                <w:b/>
                <w:sz w:val="20"/>
                <w:szCs w:val="20"/>
              </w:rPr>
            </w:pPr>
          </w:p>
        </w:tc>
        <w:tc>
          <w:tcPr>
            <w:tcW w:w="6038" w:type="dxa"/>
            <w:gridSpan w:val="2"/>
          </w:tcPr>
          <w:p w14:paraId="50CDFA11" w14:textId="77777777" w:rsidR="00DE500D" w:rsidRPr="00501F85" w:rsidRDefault="00DE500D" w:rsidP="00CE5EEC">
            <w:pPr>
              <w:rPr>
                <w:b/>
                <w:sz w:val="20"/>
                <w:szCs w:val="20"/>
              </w:rPr>
            </w:pPr>
            <w:r w:rsidRPr="00501F85">
              <w:rPr>
                <w:color w:val="0079B5" w:themeColor="accent1"/>
                <w:sz w:val="20"/>
                <w:szCs w:val="20"/>
              </w:rPr>
              <w:t xml:space="preserve">Participants saw: </w:t>
            </w:r>
            <w:r w:rsidRPr="00501F85">
              <w:rPr>
                <w:color w:val="000000" w:themeColor="text1"/>
                <w:sz w:val="20"/>
                <w:szCs w:val="20"/>
              </w:rPr>
              <w:t>PHASE team visit</w:t>
            </w:r>
          </w:p>
        </w:tc>
      </w:tr>
      <w:tr w:rsidR="00DE500D" w:rsidRPr="00501F85" w14:paraId="6C2F3D46" w14:textId="77777777" w:rsidTr="000F1F5A">
        <w:trPr>
          <w:trHeight w:val="307"/>
        </w:trPr>
        <w:tc>
          <w:tcPr>
            <w:tcW w:w="2962" w:type="dxa"/>
            <w:gridSpan w:val="2"/>
            <w:vMerge/>
          </w:tcPr>
          <w:p w14:paraId="444B09A6" w14:textId="77777777" w:rsidR="00DE500D" w:rsidRPr="00501F85" w:rsidRDefault="00DE500D" w:rsidP="00CE5EEC">
            <w:pPr>
              <w:rPr>
                <w:b/>
                <w:color w:val="0079B5" w:themeColor="accent1"/>
                <w:sz w:val="20"/>
                <w:szCs w:val="20"/>
              </w:rPr>
            </w:pPr>
          </w:p>
        </w:tc>
        <w:tc>
          <w:tcPr>
            <w:tcW w:w="360" w:type="dxa"/>
            <w:vMerge/>
          </w:tcPr>
          <w:p w14:paraId="0DBDF87A" w14:textId="77777777" w:rsidR="00DE500D" w:rsidRPr="00501F85" w:rsidRDefault="00DE500D" w:rsidP="00CE5EEC">
            <w:pPr>
              <w:rPr>
                <w:b/>
                <w:sz w:val="20"/>
                <w:szCs w:val="20"/>
              </w:rPr>
            </w:pPr>
          </w:p>
        </w:tc>
        <w:tc>
          <w:tcPr>
            <w:tcW w:w="236" w:type="dxa"/>
          </w:tcPr>
          <w:p w14:paraId="4BF22B9F" w14:textId="77777777" w:rsidR="00DE500D" w:rsidRPr="00501F85" w:rsidRDefault="00DE500D" w:rsidP="00CE5EEC">
            <w:pPr>
              <w:rPr>
                <w:color w:val="0079B5" w:themeColor="accent1"/>
                <w:sz w:val="20"/>
                <w:szCs w:val="20"/>
              </w:rPr>
            </w:pPr>
          </w:p>
        </w:tc>
        <w:tc>
          <w:tcPr>
            <w:tcW w:w="5802" w:type="dxa"/>
          </w:tcPr>
          <w:p w14:paraId="248061A8" w14:textId="77777777" w:rsidR="00DE500D" w:rsidRPr="00501F85" w:rsidRDefault="00DE500D" w:rsidP="00CE5EEC">
            <w:pPr>
              <w:rPr>
                <w:color w:val="0079B5" w:themeColor="accent1"/>
                <w:sz w:val="20"/>
                <w:szCs w:val="20"/>
              </w:rPr>
            </w:pPr>
            <w:r w:rsidRPr="00501F85">
              <w:rPr>
                <w:sz w:val="20"/>
                <w:szCs w:val="20"/>
              </w:rPr>
              <w:t>A-ha moments:</w:t>
            </w:r>
          </w:p>
        </w:tc>
      </w:tr>
      <w:tr w:rsidR="000F1F5A" w:rsidRPr="00501F85" w14:paraId="5BDCCA5F" w14:textId="77777777" w:rsidTr="000F1F5A">
        <w:tc>
          <w:tcPr>
            <w:tcW w:w="450" w:type="dxa"/>
          </w:tcPr>
          <w:p w14:paraId="6B4E9F10" w14:textId="77777777" w:rsidR="00C631C9" w:rsidRPr="00E87D67" w:rsidRDefault="00C631C9" w:rsidP="00CE5EEC">
            <w:pPr>
              <w:rPr>
                <w:color w:val="0079B5" w:themeColor="accent1"/>
                <w:sz w:val="20"/>
                <w:szCs w:val="20"/>
              </w:rPr>
            </w:pPr>
          </w:p>
        </w:tc>
        <w:tc>
          <w:tcPr>
            <w:tcW w:w="2512" w:type="dxa"/>
          </w:tcPr>
          <w:p w14:paraId="423913BC" w14:textId="067D554F" w:rsidR="00C631C9" w:rsidRPr="00E87D67" w:rsidRDefault="00E87D67" w:rsidP="00CE5EEC">
            <w:pPr>
              <w:rPr>
                <w:color w:val="0079B5" w:themeColor="accent1"/>
                <w:sz w:val="20"/>
                <w:szCs w:val="20"/>
              </w:rPr>
            </w:pPr>
            <w:r w:rsidRPr="00E87D67">
              <w:rPr>
                <w:color w:val="0079B5" w:themeColor="accent1"/>
                <w:sz w:val="20"/>
                <w:szCs w:val="20"/>
              </w:rPr>
              <w:t xml:space="preserve">4,000 </w:t>
            </w:r>
            <w:r w:rsidRPr="00E87D67">
              <w:rPr>
                <w:sz w:val="20"/>
                <w:szCs w:val="20"/>
              </w:rPr>
              <w:t>patients</w:t>
            </w:r>
          </w:p>
        </w:tc>
        <w:tc>
          <w:tcPr>
            <w:tcW w:w="360" w:type="dxa"/>
          </w:tcPr>
          <w:p w14:paraId="22B6F4EE" w14:textId="77777777" w:rsidR="00C631C9" w:rsidRPr="00501F85" w:rsidRDefault="00C631C9" w:rsidP="00CE5EEC">
            <w:pPr>
              <w:rPr>
                <w:sz w:val="20"/>
                <w:szCs w:val="20"/>
              </w:rPr>
            </w:pPr>
          </w:p>
        </w:tc>
        <w:tc>
          <w:tcPr>
            <w:tcW w:w="236" w:type="dxa"/>
          </w:tcPr>
          <w:p w14:paraId="5FDF1BEF" w14:textId="77777777" w:rsidR="00C631C9" w:rsidRPr="00501F85" w:rsidRDefault="00C631C9" w:rsidP="00CE5EEC">
            <w:pPr>
              <w:rPr>
                <w:sz w:val="20"/>
                <w:szCs w:val="20"/>
              </w:rPr>
            </w:pPr>
          </w:p>
        </w:tc>
        <w:tc>
          <w:tcPr>
            <w:tcW w:w="5802" w:type="dxa"/>
          </w:tcPr>
          <w:p w14:paraId="0D3F98FD" w14:textId="77777777" w:rsidR="00C631C9" w:rsidRPr="00DE500D" w:rsidRDefault="00DE500D" w:rsidP="00DE500D">
            <w:pPr>
              <w:pStyle w:val="ListParagraph"/>
              <w:numPr>
                <w:ilvl w:val="0"/>
                <w:numId w:val="8"/>
              </w:numPr>
              <w:rPr>
                <w:sz w:val="20"/>
                <w:szCs w:val="20"/>
              </w:rPr>
            </w:pPr>
            <w:r w:rsidRPr="00DE500D">
              <w:rPr>
                <w:sz w:val="20"/>
                <w:szCs w:val="20"/>
              </w:rPr>
              <w:t>Family can join the patient in their visit</w:t>
            </w:r>
          </w:p>
        </w:tc>
      </w:tr>
      <w:tr w:rsidR="00C631C9" w:rsidRPr="00501F85" w14:paraId="2548F836" w14:textId="77777777" w:rsidTr="000F1F5A">
        <w:tc>
          <w:tcPr>
            <w:tcW w:w="450" w:type="dxa"/>
          </w:tcPr>
          <w:p w14:paraId="404C7BA6" w14:textId="77777777" w:rsidR="00C631C9" w:rsidRPr="00501F85" w:rsidRDefault="00C631C9" w:rsidP="00CE5EEC">
            <w:pPr>
              <w:rPr>
                <w:sz w:val="20"/>
                <w:szCs w:val="20"/>
              </w:rPr>
            </w:pPr>
          </w:p>
        </w:tc>
        <w:tc>
          <w:tcPr>
            <w:tcW w:w="2512" w:type="dxa"/>
          </w:tcPr>
          <w:p w14:paraId="513060AD" w14:textId="77777777" w:rsidR="00C631C9" w:rsidRPr="00501F85" w:rsidRDefault="00C631C9" w:rsidP="00CE5EEC">
            <w:pPr>
              <w:rPr>
                <w:color w:val="0079B5" w:themeColor="accent1"/>
                <w:sz w:val="20"/>
                <w:szCs w:val="20"/>
              </w:rPr>
            </w:pPr>
            <w:r w:rsidRPr="00501F85">
              <w:rPr>
                <w:color w:val="0079B5" w:themeColor="accent1"/>
                <w:sz w:val="20"/>
                <w:szCs w:val="20"/>
              </w:rPr>
              <w:t xml:space="preserve">2 </w:t>
            </w:r>
            <w:r w:rsidRPr="00501F85">
              <w:rPr>
                <w:sz w:val="20"/>
                <w:szCs w:val="20"/>
              </w:rPr>
              <w:t>primary care clinics</w:t>
            </w:r>
          </w:p>
        </w:tc>
        <w:tc>
          <w:tcPr>
            <w:tcW w:w="360" w:type="dxa"/>
          </w:tcPr>
          <w:p w14:paraId="47F9B0BA" w14:textId="77777777" w:rsidR="00C631C9" w:rsidRPr="00501F85" w:rsidRDefault="00C631C9" w:rsidP="00CE5EEC">
            <w:pPr>
              <w:rPr>
                <w:color w:val="0079B5" w:themeColor="accent1"/>
                <w:sz w:val="20"/>
                <w:szCs w:val="20"/>
              </w:rPr>
            </w:pPr>
          </w:p>
        </w:tc>
        <w:tc>
          <w:tcPr>
            <w:tcW w:w="236" w:type="dxa"/>
          </w:tcPr>
          <w:p w14:paraId="50FDAE47" w14:textId="77777777" w:rsidR="00C631C9" w:rsidRPr="00501F85" w:rsidRDefault="00C631C9" w:rsidP="00CE5EEC">
            <w:pPr>
              <w:rPr>
                <w:color w:val="0079B5" w:themeColor="accent1"/>
                <w:sz w:val="20"/>
                <w:szCs w:val="20"/>
              </w:rPr>
            </w:pPr>
          </w:p>
        </w:tc>
        <w:tc>
          <w:tcPr>
            <w:tcW w:w="5802" w:type="dxa"/>
            <w:vMerge w:val="restart"/>
          </w:tcPr>
          <w:p w14:paraId="2F13CA69" w14:textId="77777777" w:rsidR="00C631C9" w:rsidRPr="00501F85" w:rsidRDefault="00C631C9" w:rsidP="00C631C9">
            <w:pPr>
              <w:pStyle w:val="ListParagraph"/>
              <w:numPr>
                <w:ilvl w:val="0"/>
                <w:numId w:val="8"/>
              </w:numPr>
              <w:rPr>
                <w:color w:val="000000" w:themeColor="text1"/>
                <w:sz w:val="20"/>
                <w:szCs w:val="20"/>
              </w:rPr>
            </w:pPr>
            <w:r w:rsidRPr="00501F85">
              <w:rPr>
                <w:color w:val="000000" w:themeColor="text1"/>
                <w:sz w:val="20"/>
                <w:szCs w:val="20"/>
              </w:rPr>
              <w:t>Team includes medical director, clinical pharmacist, PHASE nurse, dietician, RN health educator, receptionist, MA, and MA scribe</w:t>
            </w:r>
          </w:p>
        </w:tc>
      </w:tr>
      <w:tr w:rsidR="00DE500D" w:rsidRPr="00501F85" w14:paraId="1E0FAD8B" w14:textId="77777777" w:rsidTr="000F1F5A">
        <w:tc>
          <w:tcPr>
            <w:tcW w:w="3322" w:type="dxa"/>
            <w:gridSpan w:val="3"/>
            <w:vMerge w:val="restart"/>
            <w:vAlign w:val="bottom"/>
          </w:tcPr>
          <w:p w14:paraId="7B66EFD4" w14:textId="77777777" w:rsidR="00DE500D" w:rsidRPr="00501F85" w:rsidRDefault="00DE500D" w:rsidP="007923FD">
            <w:pPr>
              <w:rPr>
                <w:color w:val="0079B5" w:themeColor="accent1"/>
                <w:sz w:val="20"/>
                <w:szCs w:val="20"/>
              </w:rPr>
            </w:pPr>
            <w:r w:rsidRPr="00501F85">
              <w:rPr>
                <w:noProof/>
                <w:sz w:val="20"/>
                <w:szCs w:val="20"/>
              </w:rPr>
              <w:drawing>
                <wp:inline distT="0" distB="0" distL="0" distR="0" wp14:anchorId="67FC1907" wp14:editId="4D58FD2E">
                  <wp:extent cx="1920240" cy="44979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92" t="2614" r="1163"/>
                          <a:stretch/>
                        </pic:blipFill>
                        <pic:spPr bwMode="auto">
                          <a:xfrm>
                            <a:off x="0" y="0"/>
                            <a:ext cx="1920240" cy="449790"/>
                          </a:xfrm>
                          <a:prstGeom prst="rect">
                            <a:avLst/>
                          </a:prstGeom>
                          <a:ln>
                            <a:noFill/>
                          </a:ln>
                          <a:extLst>
                            <a:ext uri="{53640926-AAD7-44D8-BBD7-CCE9431645EC}">
                              <a14:shadowObscured xmlns:a14="http://schemas.microsoft.com/office/drawing/2010/main"/>
                            </a:ext>
                          </a:extLst>
                        </pic:spPr>
                      </pic:pic>
                    </a:graphicData>
                  </a:graphic>
                </wp:inline>
              </w:drawing>
            </w:r>
          </w:p>
        </w:tc>
        <w:tc>
          <w:tcPr>
            <w:tcW w:w="236" w:type="dxa"/>
          </w:tcPr>
          <w:p w14:paraId="370B8B68" w14:textId="77777777" w:rsidR="00DE500D" w:rsidRPr="00501F85" w:rsidRDefault="00DE500D" w:rsidP="00CE5EEC">
            <w:pPr>
              <w:rPr>
                <w:color w:val="0079B5" w:themeColor="accent1"/>
                <w:sz w:val="20"/>
                <w:szCs w:val="20"/>
              </w:rPr>
            </w:pPr>
          </w:p>
        </w:tc>
        <w:tc>
          <w:tcPr>
            <w:tcW w:w="5802" w:type="dxa"/>
            <w:vMerge/>
          </w:tcPr>
          <w:p w14:paraId="50EFE421" w14:textId="77777777" w:rsidR="00DE500D" w:rsidRPr="00501F85" w:rsidRDefault="00DE500D" w:rsidP="00CE5EEC">
            <w:pPr>
              <w:pStyle w:val="ListParagraph"/>
              <w:numPr>
                <w:ilvl w:val="0"/>
                <w:numId w:val="8"/>
              </w:numPr>
              <w:rPr>
                <w:color w:val="000000" w:themeColor="text1"/>
                <w:sz w:val="20"/>
                <w:szCs w:val="20"/>
              </w:rPr>
            </w:pPr>
          </w:p>
        </w:tc>
      </w:tr>
      <w:tr w:rsidR="00DE500D" w:rsidRPr="00501F85" w14:paraId="75DE0B4D" w14:textId="77777777" w:rsidTr="000F1F5A">
        <w:trPr>
          <w:trHeight w:val="75"/>
        </w:trPr>
        <w:tc>
          <w:tcPr>
            <w:tcW w:w="3322" w:type="dxa"/>
            <w:gridSpan w:val="3"/>
            <w:vMerge/>
          </w:tcPr>
          <w:p w14:paraId="5A816205" w14:textId="77777777" w:rsidR="00DE500D" w:rsidRPr="00501F85" w:rsidRDefault="00DE500D" w:rsidP="00CE5EEC">
            <w:pPr>
              <w:rPr>
                <w:color w:val="0079B5" w:themeColor="accent1"/>
                <w:sz w:val="20"/>
                <w:szCs w:val="20"/>
              </w:rPr>
            </w:pPr>
          </w:p>
        </w:tc>
        <w:tc>
          <w:tcPr>
            <w:tcW w:w="236" w:type="dxa"/>
          </w:tcPr>
          <w:p w14:paraId="309A4052" w14:textId="77777777" w:rsidR="00DE500D" w:rsidRPr="00501F85" w:rsidRDefault="00DE500D" w:rsidP="00CE5EEC">
            <w:pPr>
              <w:rPr>
                <w:color w:val="0079B5" w:themeColor="accent1"/>
                <w:sz w:val="20"/>
                <w:szCs w:val="20"/>
              </w:rPr>
            </w:pPr>
          </w:p>
        </w:tc>
        <w:tc>
          <w:tcPr>
            <w:tcW w:w="5802" w:type="dxa"/>
            <w:vMerge/>
          </w:tcPr>
          <w:p w14:paraId="28A24FD9" w14:textId="77777777" w:rsidR="00DE500D" w:rsidRPr="00501F85" w:rsidRDefault="00DE500D" w:rsidP="00CE5EEC">
            <w:pPr>
              <w:pStyle w:val="ListParagraph"/>
              <w:numPr>
                <w:ilvl w:val="0"/>
                <w:numId w:val="8"/>
              </w:numPr>
              <w:rPr>
                <w:color w:val="000000" w:themeColor="text1"/>
                <w:sz w:val="20"/>
                <w:szCs w:val="20"/>
              </w:rPr>
            </w:pPr>
          </w:p>
        </w:tc>
      </w:tr>
      <w:tr w:rsidR="00DE500D" w:rsidRPr="00501F85" w14:paraId="1A1BD7A6" w14:textId="77777777" w:rsidTr="000F1F5A">
        <w:tc>
          <w:tcPr>
            <w:tcW w:w="3322" w:type="dxa"/>
            <w:gridSpan w:val="3"/>
            <w:vMerge/>
          </w:tcPr>
          <w:p w14:paraId="62647026" w14:textId="77777777" w:rsidR="00DE500D" w:rsidRPr="00501F85" w:rsidRDefault="00DE500D" w:rsidP="00CE5EEC">
            <w:pPr>
              <w:rPr>
                <w:color w:val="0079B5" w:themeColor="accent1"/>
                <w:sz w:val="20"/>
                <w:szCs w:val="20"/>
              </w:rPr>
            </w:pPr>
          </w:p>
        </w:tc>
        <w:tc>
          <w:tcPr>
            <w:tcW w:w="236" w:type="dxa"/>
          </w:tcPr>
          <w:p w14:paraId="422F404A" w14:textId="77777777" w:rsidR="00DE500D" w:rsidRPr="00501F85" w:rsidRDefault="00DE500D" w:rsidP="00CE5EEC">
            <w:pPr>
              <w:rPr>
                <w:color w:val="0079B5" w:themeColor="accent1"/>
                <w:sz w:val="20"/>
                <w:szCs w:val="20"/>
              </w:rPr>
            </w:pPr>
            <w:bookmarkStart w:id="1" w:name="_GoBack"/>
            <w:bookmarkEnd w:id="1"/>
          </w:p>
        </w:tc>
        <w:tc>
          <w:tcPr>
            <w:tcW w:w="5802" w:type="dxa"/>
          </w:tcPr>
          <w:p w14:paraId="29C23299" w14:textId="77777777" w:rsidR="00DE500D" w:rsidRPr="00501F85" w:rsidRDefault="00DE500D" w:rsidP="00CE5EEC">
            <w:pPr>
              <w:pStyle w:val="ListParagraph"/>
              <w:numPr>
                <w:ilvl w:val="0"/>
                <w:numId w:val="8"/>
              </w:numPr>
              <w:rPr>
                <w:sz w:val="20"/>
                <w:szCs w:val="20"/>
              </w:rPr>
            </w:pPr>
            <w:r w:rsidRPr="00501F85">
              <w:rPr>
                <w:sz w:val="20"/>
                <w:szCs w:val="20"/>
              </w:rPr>
              <w:t>Full team joins the patient for the visit – and sit at eye-level and ask open-ended questions</w:t>
            </w:r>
          </w:p>
        </w:tc>
      </w:tr>
      <w:tr w:rsidR="007923FD" w:rsidRPr="00501F85" w14:paraId="4AA574EF" w14:textId="77777777" w:rsidTr="000F1F5A">
        <w:tc>
          <w:tcPr>
            <w:tcW w:w="3322" w:type="dxa"/>
            <w:gridSpan w:val="3"/>
          </w:tcPr>
          <w:p w14:paraId="392CBA65" w14:textId="77777777" w:rsidR="007923FD" w:rsidRPr="00501F85" w:rsidRDefault="007923FD" w:rsidP="00CE5EEC">
            <w:pPr>
              <w:rPr>
                <w:color w:val="0079B5" w:themeColor="accent1"/>
                <w:sz w:val="20"/>
                <w:szCs w:val="20"/>
              </w:rPr>
            </w:pPr>
          </w:p>
        </w:tc>
        <w:tc>
          <w:tcPr>
            <w:tcW w:w="236" w:type="dxa"/>
          </w:tcPr>
          <w:p w14:paraId="03F78C49" w14:textId="77777777" w:rsidR="007923FD" w:rsidRPr="00501F85" w:rsidRDefault="007923FD" w:rsidP="00CE5EEC">
            <w:pPr>
              <w:rPr>
                <w:color w:val="0079B5" w:themeColor="accent1"/>
                <w:sz w:val="20"/>
                <w:szCs w:val="20"/>
              </w:rPr>
            </w:pPr>
          </w:p>
        </w:tc>
        <w:tc>
          <w:tcPr>
            <w:tcW w:w="5802" w:type="dxa"/>
          </w:tcPr>
          <w:p w14:paraId="4ACD8CF5" w14:textId="77777777" w:rsidR="007923FD" w:rsidRPr="00501F85" w:rsidRDefault="007923FD" w:rsidP="00CE5EEC">
            <w:pPr>
              <w:pStyle w:val="ListParagraph"/>
              <w:numPr>
                <w:ilvl w:val="0"/>
                <w:numId w:val="8"/>
              </w:numPr>
              <w:rPr>
                <w:sz w:val="20"/>
                <w:szCs w:val="20"/>
              </w:rPr>
            </w:pPr>
            <w:r w:rsidRPr="00501F85">
              <w:rPr>
                <w:sz w:val="20"/>
                <w:szCs w:val="20"/>
              </w:rPr>
              <w:t>Receptionists are integrated into the team</w:t>
            </w:r>
          </w:p>
        </w:tc>
      </w:tr>
      <w:tr w:rsidR="00501F85" w:rsidRPr="00501F85" w14:paraId="3307EEE5" w14:textId="77777777" w:rsidTr="00DE500D">
        <w:tc>
          <w:tcPr>
            <w:tcW w:w="2962" w:type="dxa"/>
            <w:gridSpan w:val="2"/>
            <w:shd w:val="clear" w:color="auto" w:fill="F2F2F2" w:themeFill="background1" w:themeFillShade="F2"/>
          </w:tcPr>
          <w:p w14:paraId="4883DE2C" w14:textId="77777777" w:rsidR="00501F85" w:rsidRPr="00501F85" w:rsidRDefault="00501F85" w:rsidP="00501F85">
            <w:pPr>
              <w:spacing w:line="240" w:lineRule="auto"/>
              <w:rPr>
                <w:b/>
                <w:color w:val="0079B5" w:themeColor="accent1"/>
                <w:sz w:val="16"/>
                <w:szCs w:val="16"/>
              </w:rPr>
            </w:pPr>
          </w:p>
        </w:tc>
        <w:tc>
          <w:tcPr>
            <w:tcW w:w="360" w:type="dxa"/>
            <w:shd w:val="clear" w:color="auto" w:fill="F2F2F2" w:themeFill="background1" w:themeFillShade="F2"/>
          </w:tcPr>
          <w:p w14:paraId="05EF26AA" w14:textId="77777777" w:rsidR="00501F85" w:rsidRPr="00501F85" w:rsidRDefault="00501F85" w:rsidP="00501F85">
            <w:pPr>
              <w:spacing w:line="240" w:lineRule="auto"/>
              <w:rPr>
                <w:b/>
                <w:sz w:val="16"/>
                <w:szCs w:val="16"/>
              </w:rPr>
            </w:pPr>
          </w:p>
        </w:tc>
        <w:tc>
          <w:tcPr>
            <w:tcW w:w="6038" w:type="dxa"/>
            <w:gridSpan w:val="2"/>
            <w:shd w:val="clear" w:color="auto" w:fill="F2F2F2" w:themeFill="background1" w:themeFillShade="F2"/>
          </w:tcPr>
          <w:p w14:paraId="42AAF1B8" w14:textId="77777777" w:rsidR="00501F85" w:rsidRPr="00501F85" w:rsidRDefault="00501F85" w:rsidP="00501F85">
            <w:pPr>
              <w:spacing w:line="240" w:lineRule="auto"/>
              <w:rPr>
                <w:color w:val="0079B5" w:themeColor="accent1"/>
                <w:sz w:val="16"/>
                <w:szCs w:val="16"/>
              </w:rPr>
            </w:pPr>
          </w:p>
        </w:tc>
      </w:tr>
      <w:tr w:rsidR="007923FD" w:rsidRPr="00501F85" w14:paraId="3A336A6F" w14:textId="77777777" w:rsidTr="00DE500D">
        <w:tc>
          <w:tcPr>
            <w:tcW w:w="2962" w:type="dxa"/>
            <w:gridSpan w:val="2"/>
          </w:tcPr>
          <w:p w14:paraId="526492DE" w14:textId="77777777" w:rsidR="007923FD" w:rsidRPr="00501F85" w:rsidRDefault="007923FD" w:rsidP="00CE5EEC">
            <w:pPr>
              <w:rPr>
                <w:b/>
                <w:sz w:val="20"/>
                <w:szCs w:val="20"/>
              </w:rPr>
            </w:pPr>
            <w:r w:rsidRPr="00501F85">
              <w:rPr>
                <w:b/>
                <w:color w:val="0079B5" w:themeColor="accent1"/>
                <w:sz w:val="20"/>
                <w:szCs w:val="20"/>
              </w:rPr>
              <w:t>West County Health Centers</w:t>
            </w:r>
          </w:p>
        </w:tc>
        <w:tc>
          <w:tcPr>
            <w:tcW w:w="360" w:type="dxa"/>
          </w:tcPr>
          <w:p w14:paraId="77633A05" w14:textId="77777777" w:rsidR="007923FD" w:rsidRPr="00501F85" w:rsidRDefault="007923FD" w:rsidP="00CE5EEC">
            <w:pPr>
              <w:rPr>
                <w:b/>
                <w:sz w:val="20"/>
                <w:szCs w:val="20"/>
              </w:rPr>
            </w:pPr>
          </w:p>
        </w:tc>
        <w:tc>
          <w:tcPr>
            <w:tcW w:w="6038" w:type="dxa"/>
            <w:gridSpan w:val="2"/>
          </w:tcPr>
          <w:p w14:paraId="34B5B6D2" w14:textId="77777777" w:rsidR="007923FD" w:rsidRPr="00501F85" w:rsidRDefault="007923FD" w:rsidP="00CE5EEC">
            <w:pPr>
              <w:rPr>
                <w:b/>
                <w:sz w:val="20"/>
                <w:szCs w:val="20"/>
              </w:rPr>
            </w:pPr>
            <w:r w:rsidRPr="00501F85">
              <w:rPr>
                <w:color w:val="0079B5" w:themeColor="accent1"/>
                <w:sz w:val="20"/>
                <w:szCs w:val="20"/>
              </w:rPr>
              <w:t xml:space="preserve">Participants saw: </w:t>
            </w:r>
            <w:r w:rsidRPr="00501F85">
              <w:rPr>
                <w:sz w:val="20"/>
                <w:szCs w:val="20"/>
              </w:rPr>
              <w:t>QI processes and data literacy improvements</w:t>
            </w:r>
          </w:p>
        </w:tc>
      </w:tr>
      <w:tr w:rsidR="00501F85" w:rsidRPr="00501F85" w14:paraId="28EFBFBB" w14:textId="77777777" w:rsidTr="000F1F5A">
        <w:tc>
          <w:tcPr>
            <w:tcW w:w="450" w:type="dxa"/>
          </w:tcPr>
          <w:p w14:paraId="6186FD7D" w14:textId="77777777" w:rsidR="007923FD" w:rsidRPr="00501F85" w:rsidRDefault="007923FD" w:rsidP="00CE5EEC">
            <w:pPr>
              <w:rPr>
                <w:sz w:val="20"/>
                <w:szCs w:val="20"/>
              </w:rPr>
            </w:pPr>
          </w:p>
        </w:tc>
        <w:tc>
          <w:tcPr>
            <w:tcW w:w="2512" w:type="dxa"/>
          </w:tcPr>
          <w:p w14:paraId="12B78419" w14:textId="77777777" w:rsidR="007923FD" w:rsidRPr="00501F85" w:rsidRDefault="007923FD" w:rsidP="00CE5EEC">
            <w:pPr>
              <w:rPr>
                <w:sz w:val="20"/>
                <w:szCs w:val="20"/>
              </w:rPr>
            </w:pPr>
            <w:r w:rsidRPr="00501F85">
              <w:rPr>
                <w:color w:val="0079B5" w:themeColor="accent1"/>
                <w:sz w:val="20"/>
                <w:szCs w:val="20"/>
              </w:rPr>
              <w:t xml:space="preserve">12,000 </w:t>
            </w:r>
            <w:r w:rsidRPr="00501F85">
              <w:rPr>
                <w:sz w:val="20"/>
                <w:szCs w:val="20"/>
              </w:rPr>
              <w:t>patients</w:t>
            </w:r>
          </w:p>
        </w:tc>
        <w:tc>
          <w:tcPr>
            <w:tcW w:w="360" w:type="dxa"/>
          </w:tcPr>
          <w:p w14:paraId="255364D6" w14:textId="77777777" w:rsidR="007923FD" w:rsidRPr="00501F85" w:rsidRDefault="007923FD" w:rsidP="00CE5EEC">
            <w:pPr>
              <w:rPr>
                <w:sz w:val="20"/>
                <w:szCs w:val="20"/>
              </w:rPr>
            </w:pPr>
          </w:p>
        </w:tc>
        <w:tc>
          <w:tcPr>
            <w:tcW w:w="236" w:type="dxa"/>
          </w:tcPr>
          <w:p w14:paraId="0B503099" w14:textId="77777777" w:rsidR="007923FD" w:rsidRPr="00501F85" w:rsidRDefault="007923FD" w:rsidP="00CE5EEC">
            <w:pPr>
              <w:rPr>
                <w:sz w:val="20"/>
                <w:szCs w:val="20"/>
              </w:rPr>
            </w:pPr>
          </w:p>
        </w:tc>
        <w:tc>
          <w:tcPr>
            <w:tcW w:w="5802" w:type="dxa"/>
          </w:tcPr>
          <w:p w14:paraId="1E6522AB" w14:textId="77777777" w:rsidR="007923FD" w:rsidRPr="00501F85" w:rsidRDefault="007923FD" w:rsidP="00CE5EEC">
            <w:pPr>
              <w:rPr>
                <w:sz w:val="20"/>
                <w:szCs w:val="20"/>
              </w:rPr>
            </w:pPr>
            <w:r w:rsidRPr="00501F85">
              <w:rPr>
                <w:sz w:val="20"/>
                <w:szCs w:val="20"/>
              </w:rPr>
              <w:t>A-ha moments:</w:t>
            </w:r>
          </w:p>
        </w:tc>
      </w:tr>
      <w:tr w:rsidR="007923FD" w:rsidRPr="00501F85" w14:paraId="5E61F190" w14:textId="77777777" w:rsidTr="000F1F5A">
        <w:tc>
          <w:tcPr>
            <w:tcW w:w="450" w:type="dxa"/>
          </w:tcPr>
          <w:p w14:paraId="109B38F6" w14:textId="77777777" w:rsidR="007923FD" w:rsidRPr="00501F85" w:rsidRDefault="007923FD" w:rsidP="00CE5EEC">
            <w:pPr>
              <w:rPr>
                <w:sz w:val="20"/>
                <w:szCs w:val="20"/>
              </w:rPr>
            </w:pPr>
          </w:p>
        </w:tc>
        <w:tc>
          <w:tcPr>
            <w:tcW w:w="2512" w:type="dxa"/>
          </w:tcPr>
          <w:p w14:paraId="2DE4E88B" w14:textId="77777777" w:rsidR="007923FD" w:rsidRPr="00501F85" w:rsidRDefault="007923FD" w:rsidP="00CE5EEC">
            <w:pPr>
              <w:rPr>
                <w:color w:val="0079B5" w:themeColor="accent1"/>
                <w:sz w:val="20"/>
                <w:szCs w:val="20"/>
              </w:rPr>
            </w:pPr>
            <w:r w:rsidRPr="00501F85">
              <w:rPr>
                <w:color w:val="0079B5" w:themeColor="accent1"/>
                <w:sz w:val="20"/>
                <w:szCs w:val="20"/>
              </w:rPr>
              <w:t xml:space="preserve">3 </w:t>
            </w:r>
            <w:r w:rsidRPr="00501F85">
              <w:rPr>
                <w:sz w:val="20"/>
                <w:szCs w:val="20"/>
              </w:rPr>
              <w:t>primary care clinics</w:t>
            </w:r>
          </w:p>
        </w:tc>
        <w:tc>
          <w:tcPr>
            <w:tcW w:w="360" w:type="dxa"/>
          </w:tcPr>
          <w:p w14:paraId="41B9F8A8" w14:textId="77777777" w:rsidR="007923FD" w:rsidRPr="00501F85" w:rsidRDefault="007923FD" w:rsidP="00CE5EEC">
            <w:pPr>
              <w:rPr>
                <w:color w:val="0079B5" w:themeColor="accent1"/>
                <w:sz w:val="20"/>
                <w:szCs w:val="20"/>
              </w:rPr>
            </w:pPr>
          </w:p>
        </w:tc>
        <w:tc>
          <w:tcPr>
            <w:tcW w:w="236" w:type="dxa"/>
          </w:tcPr>
          <w:p w14:paraId="16852EE8" w14:textId="77777777" w:rsidR="007923FD" w:rsidRPr="00501F85" w:rsidRDefault="007923FD" w:rsidP="00CE5EEC">
            <w:pPr>
              <w:rPr>
                <w:color w:val="0079B5" w:themeColor="accent1"/>
                <w:sz w:val="20"/>
                <w:szCs w:val="20"/>
              </w:rPr>
            </w:pPr>
          </w:p>
        </w:tc>
        <w:tc>
          <w:tcPr>
            <w:tcW w:w="5802" w:type="dxa"/>
          </w:tcPr>
          <w:p w14:paraId="0E654703" w14:textId="77777777" w:rsidR="007923FD" w:rsidRPr="00501F85" w:rsidRDefault="007923FD" w:rsidP="007923FD">
            <w:pPr>
              <w:pStyle w:val="ListParagraph"/>
              <w:numPr>
                <w:ilvl w:val="0"/>
                <w:numId w:val="8"/>
              </w:numPr>
              <w:rPr>
                <w:sz w:val="20"/>
                <w:szCs w:val="20"/>
              </w:rPr>
            </w:pPr>
            <w:r w:rsidRPr="00501F85">
              <w:rPr>
                <w:sz w:val="20"/>
                <w:szCs w:val="20"/>
              </w:rPr>
              <w:t>All staff are accountable for certain quality measures based on organization’s priorities</w:t>
            </w:r>
          </w:p>
        </w:tc>
      </w:tr>
      <w:tr w:rsidR="00501F85" w:rsidRPr="00501F85" w14:paraId="291EBCF3" w14:textId="77777777" w:rsidTr="000F1F5A">
        <w:tc>
          <w:tcPr>
            <w:tcW w:w="3322" w:type="dxa"/>
            <w:gridSpan w:val="3"/>
            <w:vMerge w:val="restart"/>
          </w:tcPr>
          <w:p w14:paraId="6E7D1958" w14:textId="77777777" w:rsidR="007923FD" w:rsidRPr="00501F85" w:rsidRDefault="007923FD" w:rsidP="007923FD">
            <w:pPr>
              <w:rPr>
                <w:color w:val="0079B5" w:themeColor="accent1"/>
                <w:sz w:val="20"/>
                <w:szCs w:val="20"/>
              </w:rPr>
            </w:pPr>
            <w:r w:rsidRPr="00501F85">
              <w:rPr>
                <w:noProof/>
                <w:sz w:val="20"/>
                <w:szCs w:val="20"/>
              </w:rPr>
              <w:drawing>
                <wp:inline distT="0" distB="0" distL="0" distR="0" wp14:anchorId="69F5AD2B" wp14:editId="11013433">
                  <wp:extent cx="1920240" cy="589986"/>
                  <wp:effectExtent l="0" t="0" r="381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0240" cy="589986"/>
                          </a:xfrm>
                          <a:prstGeom prst="rect">
                            <a:avLst/>
                          </a:prstGeom>
                        </pic:spPr>
                      </pic:pic>
                    </a:graphicData>
                  </a:graphic>
                </wp:inline>
              </w:drawing>
            </w:r>
          </w:p>
        </w:tc>
        <w:tc>
          <w:tcPr>
            <w:tcW w:w="236" w:type="dxa"/>
          </w:tcPr>
          <w:p w14:paraId="504244B9" w14:textId="77777777" w:rsidR="007923FD" w:rsidRPr="00501F85" w:rsidRDefault="007923FD" w:rsidP="00CE5EEC">
            <w:pPr>
              <w:rPr>
                <w:color w:val="0079B5" w:themeColor="accent1"/>
                <w:sz w:val="20"/>
                <w:szCs w:val="20"/>
              </w:rPr>
            </w:pPr>
          </w:p>
        </w:tc>
        <w:tc>
          <w:tcPr>
            <w:tcW w:w="5802" w:type="dxa"/>
          </w:tcPr>
          <w:p w14:paraId="19533B83" w14:textId="77777777" w:rsidR="007923FD" w:rsidRPr="00501F85" w:rsidRDefault="007923FD" w:rsidP="00CE5EEC">
            <w:pPr>
              <w:pStyle w:val="ListParagraph"/>
              <w:numPr>
                <w:ilvl w:val="0"/>
                <w:numId w:val="8"/>
              </w:numPr>
              <w:rPr>
                <w:color w:val="000000" w:themeColor="text1"/>
                <w:sz w:val="20"/>
                <w:szCs w:val="20"/>
              </w:rPr>
            </w:pPr>
            <w:r w:rsidRPr="00501F85">
              <w:rPr>
                <w:color w:val="000000" w:themeColor="text1"/>
                <w:sz w:val="20"/>
                <w:szCs w:val="20"/>
              </w:rPr>
              <w:t>Accountability for using data dashboards leads to improved data literacy (“Quality Watch”)</w:t>
            </w:r>
          </w:p>
        </w:tc>
      </w:tr>
      <w:tr w:rsidR="00501F85" w:rsidRPr="00501F85" w14:paraId="40454B86" w14:textId="77777777" w:rsidTr="000F1F5A">
        <w:trPr>
          <w:trHeight w:val="75"/>
        </w:trPr>
        <w:tc>
          <w:tcPr>
            <w:tcW w:w="3322" w:type="dxa"/>
            <w:gridSpan w:val="3"/>
            <w:vMerge/>
          </w:tcPr>
          <w:p w14:paraId="1B437E23" w14:textId="77777777" w:rsidR="007923FD" w:rsidRPr="00501F85" w:rsidRDefault="007923FD" w:rsidP="00CE5EEC">
            <w:pPr>
              <w:rPr>
                <w:color w:val="0079B5" w:themeColor="accent1"/>
                <w:sz w:val="20"/>
                <w:szCs w:val="20"/>
              </w:rPr>
            </w:pPr>
          </w:p>
        </w:tc>
        <w:tc>
          <w:tcPr>
            <w:tcW w:w="236" w:type="dxa"/>
          </w:tcPr>
          <w:p w14:paraId="074ABF9D" w14:textId="77777777" w:rsidR="007923FD" w:rsidRPr="00501F85" w:rsidRDefault="007923FD" w:rsidP="00CE5EEC">
            <w:pPr>
              <w:rPr>
                <w:color w:val="0079B5" w:themeColor="accent1"/>
                <w:sz w:val="20"/>
                <w:szCs w:val="20"/>
              </w:rPr>
            </w:pPr>
          </w:p>
        </w:tc>
        <w:tc>
          <w:tcPr>
            <w:tcW w:w="5802" w:type="dxa"/>
          </w:tcPr>
          <w:p w14:paraId="59A594AB" w14:textId="77777777" w:rsidR="007923FD" w:rsidRPr="00501F85" w:rsidRDefault="007923FD" w:rsidP="00CE5EEC">
            <w:pPr>
              <w:pStyle w:val="ListParagraph"/>
              <w:numPr>
                <w:ilvl w:val="0"/>
                <w:numId w:val="8"/>
              </w:numPr>
              <w:rPr>
                <w:color w:val="000000" w:themeColor="text1"/>
                <w:sz w:val="20"/>
                <w:szCs w:val="20"/>
              </w:rPr>
            </w:pPr>
            <w:r w:rsidRPr="00501F85">
              <w:rPr>
                <w:color w:val="000000" w:themeColor="text1"/>
                <w:sz w:val="20"/>
                <w:szCs w:val="20"/>
              </w:rPr>
              <w:t>Measure specifications are word problems that can be visualized (“Hike the Measure”)</w:t>
            </w:r>
          </w:p>
        </w:tc>
      </w:tr>
      <w:tr w:rsidR="007923FD" w:rsidRPr="00501F85" w14:paraId="6E422465" w14:textId="77777777" w:rsidTr="000F1F5A">
        <w:tc>
          <w:tcPr>
            <w:tcW w:w="3322" w:type="dxa"/>
            <w:gridSpan w:val="3"/>
            <w:vMerge/>
          </w:tcPr>
          <w:p w14:paraId="3D6F20A2" w14:textId="77777777" w:rsidR="007923FD" w:rsidRPr="00501F85" w:rsidRDefault="007923FD" w:rsidP="00CE5EEC">
            <w:pPr>
              <w:rPr>
                <w:color w:val="0079B5" w:themeColor="accent1"/>
                <w:sz w:val="20"/>
                <w:szCs w:val="20"/>
              </w:rPr>
            </w:pPr>
          </w:p>
        </w:tc>
        <w:tc>
          <w:tcPr>
            <w:tcW w:w="236" w:type="dxa"/>
          </w:tcPr>
          <w:p w14:paraId="6B43AF3B" w14:textId="77777777" w:rsidR="007923FD" w:rsidRPr="00501F85" w:rsidRDefault="007923FD" w:rsidP="00CE5EEC">
            <w:pPr>
              <w:rPr>
                <w:color w:val="0079B5" w:themeColor="accent1"/>
                <w:sz w:val="20"/>
                <w:szCs w:val="20"/>
              </w:rPr>
            </w:pPr>
          </w:p>
        </w:tc>
        <w:tc>
          <w:tcPr>
            <w:tcW w:w="5802" w:type="dxa"/>
          </w:tcPr>
          <w:p w14:paraId="1EA6561C" w14:textId="77777777" w:rsidR="007923FD" w:rsidRPr="00501F85" w:rsidRDefault="00501F85" w:rsidP="00CE5EEC">
            <w:pPr>
              <w:pStyle w:val="ListParagraph"/>
              <w:numPr>
                <w:ilvl w:val="0"/>
                <w:numId w:val="8"/>
              </w:numPr>
              <w:rPr>
                <w:color w:val="000000" w:themeColor="text1"/>
                <w:sz w:val="20"/>
                <w:szCs w:val="20"/>
              </w:rPr>
            </w:pPr>
            <w:r>
              <w:rPr>
                <w:color w:val="000000" w:themeColor="text1"/>
                <w:sz w:val="20"/>
                <w:szCs w:val="20"/>
              </w:rPr>
              <w:t>All departments are actively involved in QI</w:t>
            </w:r>
          </w:p>
        </w:tc>
      </w:tr>
      <w:tr w:rsidR="007923FD" w:rsidRPr="00501F85" w14:paraId="5AB67CC8" w14:textId="77777777" w:rsidTr="000F1F5A">
        <w:tc>
          <w:tcPr>
            <w:tcW w:w="3322" w:type="dxa"/>
            <w:gridSpan w:val="3"/>
          </w:tcPr>
          <w:p w14:paraId="7A7B27AE" w14:textId="77777777" w:rsidR="007923FD" w:rsidRPr="00501F85" w:rsidRDefault="007923FD" w:rsidP="00CE5EEC">
            <w:pPr>
              <w:rPr>
                <w:color w:val="0079B5" w:themeColor="accent1"/>
                <w:sz w:val="20"/>
                <w:szCs w:val="20"/>
              </w:rPr>
            </w:pPr>
          </w:p>
        </w:tc>
        <w:tc>
          <w:tcPr>
            <w:tcW w:w="236" w:type="dxa"/>
          </w:tcPr>
          <w:p w14:paraId="61AE3B1D" w14:textId="77777777" w:rsidR="007923FD" w:rsidRPr="00501F85" w:rsidRDefault="007923FD" w:rsidP="00CE5EEC">
            <w:pPr>
              <w:rPr>
                <w:color w:val="0079B5" w:themeColor="accent1"/>
                <w:sz w:val="20"/>
                <w:szCs w:val="20"/>
              </w:rPr>
            </w:pPr>
          </w:p>
        </w:tc>
        <w:tc>
          <w:tcPr>
            <w:tcW w:w="5802" w:type="dxa"/>
          </w:tcPr>
          <w:p w14:paraId="741EBFF1" w14:textId="77777777" w:rsidR="007923FD" w:rsidRPr="00501F85" w:rsidRDefault="007923FD" w:rsidP="00CE5EEC">
            <w:pPr>
              <w:pStyle w:val="ListParagraph"/>
              <w:numPr>
                <w:ilvl w:val="0"/>
                <w:numId w:val="8"/>
              </w:numPr>
              <w:rPr>
                <w:sz w:val="20"/>
                <w:szCs w:val="20"/>
              </w:rPr>
            </w:pPr>
            <w:r w:rsidRPr="00501F85">
              <w:rPr>
                <w:sz w:val="20"/>
                <w:szCs w:val="20"/>
              </w:rPr>
              <w:t>Monitoring data is tied to action planning</w:t>
            </w:r>
          </w:p>
        </w:tc>
      </w:tr>
    </w:tbl>
    <w:p w14:paraId="25DDE4CB" w14:textId="77777777" w:rsidR="00E524CE" w:rsidRPr="004A6690" w:rsidRDefault="00E524CE" w:rsidP="00AA66CD"/>
    <w:sectPr w:rsidR="00E524CE" w:rsidRPr="004A6690" w:rsidSect="004A6690">
      <w:headerReference w:type="default" r:id="rId14"/>
      <w:footerReference w:type="default" r:id="rId15"/>
      <w:headerReference w:type="first" r:id="rId16"/>
      <w:pgSz w:w="12240" w:h="15840"/>
      <w:pgMar w:top="1527"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59CF2" w14:textId="77777777" w:rsidR="00515415" w:rsidRDefault="00515415" w:rsidP="00465D60">
      <w:pPr>
        <w:spacing w:after="0" w:line="240" w:lineRule="auto"/>
      </w:pPr>
      <w:r>
        <w:separator/>
      </w:r>
    </w:p>
  </w:endnote>
  <w:endnote w:type="continuationSeparator" w:id="0">
    <w:p w14:paraId="14DDFBCE" w14:textId="77777777" w:rsidR="00515415" w:rsidRDefault="00515415" w:rsidP="0046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95B4" w14:textId="77777777" w:rsidR="00AA66CD" w:rsidRDefault="00AA66CD" w:rsidP="00AA66CD">
    <w:pPr>
      <w:jc w:val="right"/>
    </w:pPr>
    <w:r>
      <w:rPr>
        <w:noProof/>
      </w:rPr>
      <w:drawing>
        <wp:inline distT="0" distB="0" distL="0" distR="0" wp14:anchorId="475D473C" wp14:editId="6082A688">
          <wp:extent cx="2570426" cy="274320"/>
          <wp:effectExtent l="0" t="0" r="1905" b="0"/>
          <wp:docPr id="3" name="Picture 3" descr="G:\CTRHS\CCHE\Systems\Tools templates and trainings\CCHE Graphics\CCHE logos\CCHElogo_Name+web_C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TRHS\CCHE\Systems\Tools templates and trainings\CCHE Graphics\CCHE logos\CCHElogo_Name+web_C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26" cy="2743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7F575" w14:textId="77777777" w:rsidR="00515415" w:rsidRDefault="00515415" w:rsidP="00465D60">
      <w:pPr>
        <w:spacing w:after="0" w:line="240" w:lineRule="auto"/>
      </w:pPr>
      <w:r>
        <w:separator/>
      </w:r>
    </w:p>
  </w:footnote>
  <w:footnote w:type="continuationSeparator" w:id="0">
    <w:p w14:paraId="187BAE0A" w14:textId="77777777" w:rsidR="00515415" w:rsidRDefault="00515415" w:rsidP="0046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id w:val="725341971"/>
      <w:docPartObj>
        <w:docPartGallery w:val="Page Numbers (Top of Page)"/>
        <w:docPartUnique/>
      </w:docPartObj>
    </w:sdtPr>
    <w:sdtEndPr>
      <w:rPr>
        <w:rFonts w:cs="Segoe UI"/>
        <w:color w:val="0079B5" w:themeColor="accent1"/>
        <w:spacing w:val="20"/>
        <w:sz w:val="20"/>
        <w:highlight w:val="none"/>
      </w:rPr>
    </w:sdtEndPr>
    <w:sdtContent>
      <w:p w14:paraId="7C45DF51" w14:textId="77777777" w:rsidR="00BA1AE6" w:rsidRPr="00FC0F47" w:rsidRDefault="00AA66CD" w:rsidP="00441EEC">
        <w:pPr>
          <w:pStyle w:val="Header"/>
          <w:rPr>
            <w:rFonts w:cs="Segoe UI"/>
            <w:color w:val="0079B5" w:themeColor="accent1"/>
            <w:spacing w:val="20"/>
            <w:sz w:val="20"/>
          </w:rPr>
        </w:pPr>
        <w:r>
          <w:rPr>
            <w:rFonts w:cs="Segoe UI"/>
            <w:color w:val="0079B5" w:themeColor="accent1"/>
            <w:spacing w:val="20"/>
            <w:sz w:val="20"/>
          </w:rPr>
          <w:t>Sonoma and Marin site visits</w:t>
        </w:r>
        <w:r w:rsidR="00BA1AE6">
          <w:rPr>
            <w:rFonts w:cs="Segoe UI"/>
            <w:color w:val="0079B5" w:themeColor="accent1"/>
            <w:spacing w:val="20"/>
            <w:sz w:val="20"/>
          </w:rPr>
          <w:tab/>
        </w:r>
        <w:r w:rsidR="00BA1AE6" w:rsidRPr="00FC0F47">
          <w:rPr>
            <w:rFonts w:cs="Segoe UI"/>
            <w:color w:val="0079B5" w:themeColor="accent1"/>
            <w:sz w:val="20"/>
          </w:rPr>
          <w:tab/>
          <w:t xml:space="preserve">Page </w:t>
        </w:r>
        <w:r w:rsidR="00BA1AE6" w:rsidRPr="00FC0F47">
          <w:rPr>
            <w:rFonts w:cs="Segoe UI"/>
            <w:color w:val="0079B5" w:themeColor="accent1"/>
            <w:spacing w:val="20"/>
            <w:sz w:val="20"/>
          </w:rPr>
          <w:fldChar w:fldCharType="begin"/>
        </w:r>
        <w:r w:rsidR="00BA1AE6" w:rsidRPr="00FC0F47">
          <w:rPr>
            <w:rFonts w:cs="Segoe UI"/>
            <w:color w:val="0079B5" w:themeColor="accent1"/>
            <w:spacing w:val="20"/>
            <w:sz w:val="20"/>
          </w:rPr>
          <w:instrText xml:space="preserve"> PAGE   \* MERGEFORMAT </w:instrText>
        </w:r>
        <w:r w:rsidR="00BA1AE6" w:rsidRPr="00FC0F47">
          <w:rPr>
            <w:rFonts w:cs="Segoe UI"/>
            <w:color w:val="0079B5" w:themeColor="accent1"/>
            <w:spacing w:val="20"/>
            <w:sz w:val="20"/>
          </w:rPr>
          <w:fldChar w:fldCharType="separate"/>
        </w:r>
        <w:r w:rsidR="00032EF6">
          <w:rPr>
            <w:rFonts w:cs="Segoe UI"/>
            <w:noProof/>
            <w:color w:val="0079B5" w:themeColor="accent1"/>
            <w:spacing w:val="20"/>
            <w:sz w:val="20"/>
          </w:rPr>
          <w:t>6</w:t>
        </w:r>
        <w:r w:rsidR="00BA1AE6" w:rsidRPr="00FC0F47">
          <w:rPr>
            <w:rFonts w:cs="Segoe UI"/>
            <w:color w:val="0079B5" w:themeColor="accent1"/>
            <w:spacing w:val="20"/>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22CFA" w14:textId="77777777" w:rsidR="004A6690" w:rsidRDefault="004A6690" w:rsidP="004A6690">
    <w:pPr>
      <w:pStyle w:val="Header"/>
      <w:jc w:val="right"/>
    </w:pPr>
    <w:r w:rsidRPr="00A611EE">
      <w:rPr>
        <w:i/>
        <w:noProof/>
        <w:sz w:val="20"/>
        <w:szCs w:val="20"/>
      </w:rPr>
      <w:drawing>
        <wp:inline distT="0" distB="0" distL="0" distR="0" wp14:anchorId="0F3B922A" wp14:editId="7B63182A">
          <wp:extent cx="2266950" cy="25146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251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8CB"/>
    <w:multiLevelType w:val="hybridMultilevel"/>
    <w:tmpl w:val="E5E40670"/>
    <w:lvl w:ilvl="0" w:tplc="ADE81D7E">
      <w:start w:val="75"/>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7275E"/>
    <w:multiLevelType w:val="hybridMultilevel"/>
    <w:tmpl w:val="0FD27170"/>
    <w:lvl w:ilvl="0" w:tplc="D35C2972">
      <w:start w:val="1"/>
      <w:numFmt w:val="bullet"/>
      <w:lvlText w:val=""/>
      <w:lvlJc w:val="left"/>
      <w:pPr>
        <w:ind w:left="720" w:hanging="360"/>
      </w:pPr>
      <w:rPr>
        <w:rFonts w:ascii="Symbol" w:hAnsi="Symbol" w:hint="default"/>
        <w:color w:val="007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66F5E"/>
    <w:multiLevelType w:val="hybridMultilevel"/>
    <w:tmpl w:val="8AA4541A"/>
    <w:lvl w:ilvl="0" w:tplc="D35C2972">
      <w:start w:val="1"/>
      <w:numFmt w:val="bullet"/>
      <w:lvlText w:val=""/>
      <w:lvlJc w:val="left"/>
      <w:pPr>
        <w:ind w:left="720" w:hanging="360"/>
      </w:pPr>
      <w:rPr>
        <w:rFonts w:ascii="Symbol" w:hAnsi="Symbol" w:hint="default"/>
        <w:color w:val="0079B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E6F1E"/>
    <w:multiLevelType w:val="hybridMultilevel"/>
    <w:tmpl w:val="6D48E11E"/>
    <w:lvl w:ilvl="0" w:tplc="A48CFE0A">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A7569"/>
    <w:multiLevelType w:val="hybridMultilevel"/>
    <w:tmpl w:val="909A05A2"/>
    <w:lvl w:ilvl="0" w:tplc="7234CAE0">
      <w:start w:val="5"/>
      <w:numFmt w:val="bullet"/>
      <w:lvlText w:val="-"/>
      <w:lvlJc w:val="left"/>
      <w:pPr>
        <w:ind w:left="720" w:hanging="360"/>
      </w:pPr>
      <w:rPr>
        <w:rFonts w:ascii="Segoe UI" w:eastAsia="Times New Roman" w:hAnsi="Segoe UI" w:cs="Segoe UI"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C1508"/>
    <w:multiLevelType w:val="hybridMultilevel"/>
    <w:tmpl w:val="5CFE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C128F"/>
    <w:multiLevelType w:val="hybridMultilevel"/>
    <w:tmpl w:val="CA8C08F4"/>
    <w:lvl w:ilvl="0" w:tplc="C8980D4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D6C48"/>
    <w:multiLevelType w:val="hybridMultilevel"/>
    <w:tmpl w:val="2588431E"/>
    <w:lvl w:ilvl="0" w:tplc="0180FD9E">
      <w:numFmt w:val="bullet"/>
      <w:lvlText w:val="-"/>
      <w:lvlJc w:val="left"/>
      <w:pPr>
        <w:ind w:left="720" w:hanging="36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78"/>
    <w:rsid w:val="000117C5"/>
    <w:rsid w:val="00027BD7"/>
    <w:rsid w:val="00032EF6"/>
    <w:rsid w:val="00040E04"/>
    <w:rsid w:val="0004143E"/>
    <w:rsid w:val="00052492"/>
    <w:rsid w:val="0005290E"/>
    <w:rsid w:val="00070ABC"/>
    <w:rsid w:val="000733BD"/>
    <w:rsid w:val="0007495B"/>
    <w:rsid w:val="00090BD3"/>
    <w:rsid w:val="00094C4A"/>
    <w:rsid w:val="000965DE"/>
    <w:rsid w:val="000B73D4"/>
    <w:rsid w:val="000B7FD2"/>
    <w:rsid w:val="000C189F"/>
    <w:rsid w:val="000D65AF"/>
    <w:rsid w:val="000D7D70"/>
    <w:rsid w:val="000F1F5A"/>
    <w:rsid w:val="000F4404"/>
    <w:rsid w:val="00102DAF"/>
    <w:rsid w:val="00112321"/>
    <w:rsid w:val="001162CD"/>
    <w:rsid w:val="00124BB0"/>
    <w:rsid w:val="0014111C"/>
    <w:rsid w:val="00147D5E"/>
    <w:rsid w:val="00155B03"/>
    <w:rsid w:val="001572A4"/>
    <w:rsid w:val="001A0F75"/>
    <w:rsid w:val="001C0C19"/>
    <w:rsid w:val="001C11A3"/>
    <w:rsid w:val="00200480"/>
    <w:rsid w:val="00231789"/>
    <w:rsid w:val="002713C0"/>
    <w:rsid w:val="0027194E"/>
    <w:rsid w:val="00271A6B"/>
    <w:rsid w:val="00274BBA"/>
    <w:rsid w:val="00287AE3"/>
    <w:rsid w:val="002904F8"/>
    <w:rsid w:val="0029449A"/>
    <w:rsid w:val="002A5B25"/>
    <w:rsid w:val="002D724E"/>
    <w:rsid w:val="002E506B"/>
    <w:rsid w:val="002F475C"/>
    <w:rsid w:val="00310A9B"/>
    <w:rsid w:val="00337AB7"/>
    <w:rsid w:val="00356148"/>
    <w:rsid w:val="003716F9"/>
    <w:rsid w:val="00393EAD"/>
    <w:rsid w:val="003C2E94"/>
    <w:rsid w:val="003E2483"/>
    <w:rsid w:val="003E66C0"/>
    <w:rsid w:val="003E79AE"/>
    <w:rsid w:val="0041177E"/>
    <w:rsid w:val="00412A2E"/>
    <w:rsid w:val="00415F39"/>
    <w:rsid w:val="004373BF"/>
    <w:rsid w:val="0044137F"/>
    <w:rsid w:val="00441EEC"/>
    <w:rsid w:val="00444F80"/>
    <w:rsid w:val="00451211"/>
    <w:rsid w:val="00453BB0"/>
    <w:rsid w:val="00455138"/>
    <w:rsid w:val="00465D60"/>
    <w:rsid w:val="00481D80"/>
    <w:rsid w:val="004937F8"/>
    <w:rsid w:val="004A6690"/>
    <w:rsid w:val="004B3E3C"/>
    <w:rsid w:val="004C71B4"/>
    <w:rsid w:val="004D1625"/>
    <w:rsid w:val="004D3807"/>
    <w:rsid w:val="004D6D25"/>
    <w:rsid w:val="00501F85"/>
    <w:rsid w:val="00502B18"/>
    <w:rsid w:val="00511125"/>
    <w:rsid w:val="005141EC"/>
    <w:rsid w:val="00515415"/>
    <w:rsid w:val="00516D7C"/>
    <w:rsid w:val="0053490B"/>
    <w:rsid w:val="00534C02"/>
    <w:rsid w:val="005454E8"/>
    <w:rsid w:val="00554744"/>
    <w:rsid w:val="00555704"/>
    <w:rsid w:val="005579FB"/>
    <w:rsid w:val="00576921"/>
    <w:rsid w:val="005B03EA"/>
    <w:rsid w:val="005E61A6"/>
    <w:rsid w:val="00637F7B"/>
    <w:rsid w:val="00656948"/>
    <w:rsid w:val="0066129C"/>
    <w:rsid w:val="00662203"/>
    <w:rsid w:val="00673C85"/>
    <w:rsid w:val="0068126C"/>
    <w:rsid w:val="006A1F69"/>
    <w:rsid w:val="006A3DCB"/>
    <w:rsid w:val="006B1521"/>
    <w:rsid w:val="006B3AF4"/>
    <w:rsid w:val="006B6672"/>
    <w:rsid w:val="006D7F5F"/>
    <w:rsid w:val="006E323E"/>
    <w:rsid w:val="006F7C88"/>
    <w:rsid w:val="007048D7"/>
    <w:rsid w:val="00725D7E"/>
    <w:rsid w:val="007468AE"/>
    <w:rsid w:val="00747F9A"/>
    <w:rsid w:val="007507CB"/>
    <w:rsid w:val="00752A11"/>
    <w:rsid w:val="00786F2E"/>
    <w:rsid w:val="007923FD"/>
    <w:rsid w:val="00793AEC"/>
    <w:rsid w:val="007948A2"/>
    <w:rsid w:val="007B7AB8"/>
    <w:rsid w:val="007C0F53"/>
    <w:rsid w:val="007D4BA2"/>
    <w:rsid w:val="007D61DD"/>
    <w:rsid w:val="007D7094"/>
    <w:rsid w:val="00807DCD"/>
    <w:rsid w:val="00814B6D"/>
    <w:rsid w:val="00857D84"/>
    <w:rsid w:val="00862E2C"/>
    <w:rsid w:val="00890170"/>
    <w:rsid w:val="008905F5"/>
    <w:rsid w:val="00891B9C"/>
    <w:rsid w:val="00892FEB"/>
    <w:rsid w:val="00896F90"/>
    <w:rsid w:val="008A756C"/>
    <w:rsid w:val="008C64D3"/>
    <w:rsid w:val="008D087E"/>
    <w:rsid w:val="008D266C"/>
    <w:rsid w:val="008D6821"/>
    <w:rsid w:val="008F0990"/>
    <w:rsid w:val="009166F0"/>
    <w:rsid w:val="009223CC"/>
    <w:rsid w:val="00923878"/>
    <w:rsid w:val="00927828"/>
    <w:rsid w:val="00937C0F"/>
    <w:rsid w:val="00963D59"/>
    <w:rsid w:val="00965D2E"/>
    <w:rsid w:val="00972682"/>
    <w:rsid w:val="00986332"/>
    <w:rsid w:val="00993616"/>
    <w:rsid w:val="00993679"/>
    <w:rsid w:val="009A225F"/>
    <w:rsid w:val="009A2EA8"/>
    <w:rsid w:val="009B4AF9"/>
    <w:rsid w:val="009B4CDD"/>
    <w:rsid w:val="009D3F92"/>
    <w:rsid w:val="009F5D29"/>
    <w:rsid w:val="00A1404F"/>
    <w:rsid w:val="00A365DE"/>
    <w:rsid w:val="00A61C09"/>
    <w:rsid w:val="00A7236E"/>
    <w:rsid w:val="00AA66CD"/>
    <w:rsid w:val="00AB4038"/>
    <w:rsid w:val="00AD2C2F"/>
    <w:rsid w:val="00AD3B8A"/>
    <w:rsid w:val="00AE2B99"/>
    <w:rsid w:val="00B034F7"/>
    <w:rsid w:val="00B111CC"/>
    <w:rsid w:val="00B150DA"/>
    <w:rsid w:val="00B35AEA"/>
    <w:rsid w:val="00B43E2B"/>
    <w:rsid w:val="00B47609"/>
    <w:rsid w:val="00B60FCD"/>
    <w:rsid w:val="00B62D1A"/>
    <w:rsid w:val="00B71D58"/>
    <w:rsid w:val="00B84534"/>
    <w:rsid w:val="00B92BDB"/>
    <w:rsid w:val="00BA1AE6"/>
    <w:rsid w:val="00BB017C"/>
    <w:rsid w:val="00BB03E4"/>
    <w:rsid w:val="00BB2BA4"/>
    <w:rsid w:val="00C02DD3"/>
    <w:rsid w:val="00C05BF3"/>
    <w:rsid w:val="00C07F6A"/>
    <w:rsid w:val="00C12C07"/>
    <w:rsid w:val="00C403B4"/>
    <w:rsid w:val="00C507D7"/>
    <w:rsid w:val="00C631C9"/>
    <w:rsid w:val="00C83ED3"/>
    <w:rsid w:val="00CA06EB"/>
    <w:rsid w:val="00CA6D26"/>
    <w:rsid w:val="00D10262"/>
    <w:rsid w:val="00D2587C"/>
    <w:rsid w:val="00D27C7C"/>
    <w:rsid w:val="00D41E6F"/>
    <w:rsid w:val="00D54BF1"/>
    <w:rsid w:val="00D56CC0"/>
    <w:rsid w:val="00D7414D"/>
    <w:rsid w:val="00D76A7D"/>
    <w:rsid w:val="00D775D1"/>
    <w:rsid w:val="00D9203B"/>
    <w:rsid w:val="00DA34E6"/>
    <w:rsid w:val="00DB1B81"/>
    <w:rsid w:val="00DB6C3C"/>
    <w:rsid w:val="00DC0895"/>
    <w:rsid w:val="00DD265E"/>
    <w:rsid w:val="00DE500D"/>
    <w:rsid w:val="00E00A18"/>
    <w:rsid w:val="00E05C7B"/>
    <w:rsid w:val="00E05DC6"/>
    <w:rsid w:val="00E14ECF"/>
    <w:rsid w:val="00E16148"/>
    <w:rsid w:val="00E44443"/>
    <w:rsid w:val="00E524CE"/>
    <w:rsid w:val="00E566A0"/>
    <w:rsid w:val="00E56E4B"/>
    <w:rsid w:val="00E72386"/>
    <w:rsid w:val="00E87028"/>
    <w:rsid w:val="00E87D67"/>
    <w:rsid w:val="00E94724"/>
    <w:rsid w:val="00E95AEB"/>
    <w:rsid w:val="00EA458E"/>
    <w:rsid w:val="00EB1E6E"/>
    <w:rsid w:val="00ED70B9"/>
    <w:rsid w:val="00EE0843"/>
    <w:rsid w:val="00EE2AFD"/>
    <w:rsid w:val="00EE55DF"/>
    <w:rsid w:val="00EE5A70"/>
    <w:rsid w:val="00F043E4"/>
    <w:rsid w:val="00F128CB"/>
    <w:rsid w:val="00F13A17"/>
    <w:rsid w:val="00F15D4C"/>
    <w:rsid w:val="00F533EC"/>
    <w:rsid w:val="00F65CD4"/>
    <w:rsid w:val="00FA0BD2"/>
    <w:rsid w:val="00FA4D29"/>
    <w:rsid w:val="00FA50DC"/>
    <w:rsid w:val="00FA6671"/>
    <w:rsid w:val="00FC0F47"/>
    <w:rsid w:val="00FC36BC"/>
    <w:rsid w:val="00FC438A"/>
    <w:rsid w:val="00FD4929"/>
    <w:rsid w:val="00FE141A"/>
    <w:rsid w:val="00FF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CECD02"/>
  <w15:docId w15:val="{CE983C5A-350A-4B14-A9D9-C0B19ACE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inorBidi"/>
        <w:color w:val="000000" w:themeColor="text1"/>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7CB"/>
    <w:pPr>
      <w:spacing w:line="276" w:lineRule="auto"/>
    </w:pPr>
    <w:rPr>
      <w:rFonts w:ascii="Segoe UI" w:hAnsi="Segoe UI"/>
    </w:rPr>
  </w:style>
  <w:style w:type="paragraph" w:styleId="Heading1">
    <w:name w:val="heading 1"/>
    <w:basedOn w:val="Normal"/>
    <w:next w:val="Normal"/>
    <w:link w:val="Heading1Char"/>
    <w:autoRedefine/>
    <w:uiPriority w:val="9"/>
    <w:qFormat/>
    <w:rsid w:val="00052492"/>
    <w:pPr>
      <w:keepNext/>
      <w:keepLines/>
      <w:spacing w:before="240" w:after="0"/>
      <w:outlineLvl w:val="0"/>
    </w:pPr>
    <w:rPr>
      <w:rFonts w:ascii="Segoe UI Semibold" w:eastAsiaTheme="majorEastAsia" w:hAnsi="Segoe UI Semibold" w:cstheme="majorBidi"/>
      <w:color w:val="ED7528" w:themeColor="accent2"/>
      <w:spacing w:val="20"/>
      <w:sz w:val="32"/>
      <w:szCs w:val="32"/>
    </w:rPr>
  </w:style>
  <w:style w:type="paragraph" w:styleId="Heading2">
    <w:name w:val="heading 2"/>
    <w:basedOn w:val="Normal"/>
    <w:next w:val="Normal"/>
    <w:link w:val="Heading2Char"/>
    <w:autoRedefine/>
    <w:uiPriority w:val="9"/>
    <w:unhideWhenUsed/>
    <w:qFormat/>
    <w:rsid w:val="00511125"/>
    <w:pPr>
      <w:keepNext/>
      <w:keepLines/>
      <w:spacing w:before="60" w:after="0"/>
      <w:outlineLvl w:val="1"/>
    </w:pPr>
    <w:rPr>
      <w:rFonts w:asciiTheme="minorHAnsi" w:eastAsiaTheme="majorEastAsia" w:hAnsiTheme="minorHAnsi" w:cstheme="minorHAnsi"/>
      <w:bCs/>
      <w:color w:val="0079B5" w:themeColor="accent1"/>
      <w:spacing w:val="20"/>
      <w:sz w:val="26"/>
      <w:szCs w:val="26"/>
    </w:rPr>
  </w:style>
  <w:style w:type="paragraph" w:styleId="Heading3">
    <w:name w:val="heading 3"/>
    <w:basedOn w:val="Normal"/>
    <w:next w:val="Normal"/>
    <w:link w:val="Heading3Char"/>
    <w:autoRedefine/>
    <w:uiPriority w:val="9"/>
    <w:unhideWhenUsed/>
    <w:qFormat/>
    <w:rsid w:val="005579FB"/>
    <w:pPr>
      <w:keepNext/>
      <w:keepLines/>
      <w:spacing w:before="40" w:after="0"/>
      <w:outlineLvl w:val="2"/>
    </w:pPr>
    <w:rPr>
      <w:rFonts w:eastAsiaTheme="majorEastAsia" w:cstheme="majorBidi"/>
      <w:color w:val="0079B5" w:themeColor="accent1"/>
      <w:spacing w:val="20"/>
      <w:szCs w:val="24"/>
    </w:rPr>
  </w:style>
  <w:style w:type="paragraph" w:styleId="Heading4">
    <w:name w:val="heading 4"/>
    <w:basedOn w:val="Normal"/>
    <w:next w:val="Normal"/>
    <w:link w:val="Heading4Char"/>
    <w:autoRedefine/>
    <w:uiPriority w:val="9"/>
    <w:semiHidden/>
    <w:unhideWhenUsed/>
    <w:qFormat/>
    <w:rsid w:val="00FC0F47"/>
    <w:pPr>
      <w:keepNext/>
      <w:keepLines/>
      <w:spacing w:before="40" w:after="0"/>
      <w:outlineLvl w:val="3"/>
    </w:pPr>
    <w:rPr>
      <w:rFonts w:eastAsiaTheme="majorEastAsia" w:cstheme="majorBidi"/>
      <w:i/>
      <w:iCs/>
      <w:color w:val="0079B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07CB"/>
    <w:pPr>
      <w:spacing w:after="0"/>
    </w:pPr>
    <w:rPr>
      <w:rFonts w:ascii="Segoe UI" w:hAnsi="Segoe UI"/>
    </w:rPr>
  </w:style>
  <w:style w:type="paragraph" w:styleId="Subtitle">
    <w:name w:val="Subtitle"/>
    <w:basedOn w:val="Normal"/>
    <w:next w:val="Normal"/>
    <w:link w:val="SubtitleChar"/>
    <w:uiPriority w:val="11"/>
    <w:qFormat/>
    <w:rsid w:val="00F043E4"/>
    <w:pPr>
      <w:numPr>
        <w:ilvl w:val="1"/>
      </w:numPr>
    </w:pPr>
    <w:rPr>
      <w:rFonts w:eastAsiaTheme="minorEastAsia"/>
      <w:color w:val="E28000" w:themeColor="accent3" w:themeShade="BF"/>
      <w:spacing w:val="15"/>
    </w:rPr>
  </w:style>
  <w:style w:type="character" w:customStyle="1" w:styleId="SubtitleChar">
    <w:name w:val="Subtitle Char"/>
    <w:basedOn w:val="DefaultParagraphFont"/>
    <w:link w:val="Subtitle"/>
    <w:uiPriority w:val="11"/>
    <w:rsid w:val="00F043E4"/>
    <w:rPr>
      <w:rFonts w:eastAsiaTheme="minorEastAsia"/>
      <w:color w:val="E28000" w:themeColor="accent3" w:themeShade="BF"/>
      <w:spacing w:val="15"/>
    </w:rPr>
  </w:style>
  <w:style w:type="character" w:customStyle="1" w:styleId="Heading1Char">
    <w:name w:val="Heading 1 Char"/>
    <w:basedOn w:val="DefaultParagraphFont"/>
    <w:link w:val="Heading1"/>
    <w:uiPriority w:val="9"/>
    <w:rsid w:val="00052492"/>
    <w:rPr>
      <w:rFonts w:ascii="Segoe UI Semibold" w:eastAsiaTheme="majorEastAsia" w:hAnsi="Segoe UI Semibold" w:cstheme="majorBidi"/>
      <w:color w:val="ED7528" w:themeColor="accent2"/>
      <w:spacing w:val="20"/>
      <w:sz w:val="32"/>
      <w:szCs w:val="32"/>
    </w:rPr>
  </w:style>
  <w:style w:type="character" w:customStyle="1" w:styleId="Heading2Char">
    <w:name w:val="Heading 2 Char"/>
    <w:basedOn w:val="DefaultParagraphFont"/>
    <w:link w:val="Heading2"/>
    <w:uiPriority w:val="9"/>
    <w:rsid w:val="00511125"/>
    <w:rPr>
      <w:rFonts w:asciiTheme="minorHAnsi" w:eastAsiaTheme="majorEastAsia" w:hAnsiTheme="minorHAnsi" w:cstheme="minorHAnsi"/>
      <w:bCs/>
      <w:color w:val="0079B5" w:themeColor="accent1"/>
      <w:spacing w:val="20"/>
      <w:sz w:val="26"/>
      <w:szCs w:val="26"/>
    </w:rPr>
  </w:style>
  <w:style w:type="paragraph" w:styleId="Header">
    <w:name w:val="header"/>
    <w:basedOn w:val="Normal"/>
    <w:link w:val="HeaderChar"/>
    <w:uiPriority w:val="99"/>
    <w:unhideWhenUsed/>
    <w:rsid w:val="0046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D60"/>
  </w:style>
  <w:style w:type="paragraph" w:styleId="Footer">
    <w:name w:val="footer"/>
    <w:basedOn w:val="Normal"/>
    <w:link w:val="FooterChar"/>
    <w:uiPriority w:val="99"/>
    <w:unhideWhenUsed/>
    <w:rsid w:val="0046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60"/>
  </w:style>
  <w:style w:type="paragraph" w:styleId="Quote">
    <w:name w:val="Quote"/>
    <w:basedOn w:val="Normal"/>
    <w:next w:val="Normal"/>
    <w:link w:val="QuoteChar"/>
    <w:uiPriority w:val="29"/>
    <w:qFormat/>
    <w:rsid w:val="007048D7"/>
    <w:pPr>
      <w:spacing w:line="312" w:lineRule="auto"/>
    </w:pPr>
    <w:rPr>
      <w:rFonts w:ascii="Cambria" w:hAnsi="Cambria"/>
      <w:iCs/>
      <w:color w:val="E28000" w:themeColor="accent3" w:themeShade="BF"/>
      <w:sz w:val="24"/>
    </w:rPr>
  </w:style>
  <w:style w:type="character" w:customStyle="1" w:styleId="QuoteChar">
    <w:name w:val="Quote Char"/>
    <w:basedOn w:val="DefaultParagraphFont"/>
    <w:link w:val="Quote"/>
    <w:uiPriority w:val="29"/>
    <w:rsid w:val="007048D7"/>
    <w:rPr>
      <w:rFonts w:ascii="Cambria" w:hAnsi="Cambria"/>
      <w:iCs/>
      <w:color w:val="E28000" w:themeColor="accent3" w:themeShade="BF"/>
      <w:sz w:val="24"/>
    </w:rPr>
  </w:style>
  <w:style w:type="character" w:customStyle="1" w:styleId="Heading3Char">
    <w:name w:val="Heading 3 Char"/>
    <w:basedOn w:val="DefaultParagraphFont"/>
    <w:link w:val="Heading3"/>
    <w:uiPriority w:val="9"/>
    <w:rsid w:val="005579FB"/>
    <w:rPr>
      <w:rFonts w:ascii="Segoe UI" w:eastAsiaTheme="majorEastAsia" w:hAnsi="Segoe UI" w:cstheme="majorBidi"/>
      <w:color w:val="0079B5" w:themeColor="accent1"/>
      <w:spacing w:val="20"/>
      <w:szCs w:val="24"/>
    </w:rPr>
  </w:style>
  <w:style w:type="character" w:customStyle="1" w:styleId="Heading4Char">
    <w:name w:val="Heading 4 Char"/>
    <w:basedOn w:val="DefaultParagraphFont"/>
    <w:link w:val="Heading4"/>
    <w:uiPriority w:val="9"/>
    <w:semiHidden/>
    <w:rsid w:val="00FC0F47"/>
    <w:rPr>
      <w:rFonts w:ascii="Segoe UI" w:eastAsiaTheme="majorEastAsia" w:hAnsi="Segoe UI" w:cstheme="majorBidi"/>
      <w:i/>
      <w:iCs/>
      <w:color w:val="0079B5" w:themeColor="accent1"/>
    </w:rPr>
  </w:style>
  <w:style w:type="paragraph" w:styleId="TOCHeading">
    <w:name w:val="TOC Heading"/>
    <w:basedOn w:val="Heading1"/>
    <w:next w:val="Normal"/>
    <w:uiPriority w:val="39"/>
    <w:unhideWhenUsed/>
    <w:qFormat/>
    <w:rsid w:val="006B3AF4"/>
    <w:pPr>
      <w:spacing w:line="259" w:lineRule="auto"/>
      <w:outlineLvl w:val="9"/>
    </w:pPr>
    <w:rPr>
      <w:rFonts w:asciiTheme="majorHAnsi" w:hAnsiTheme="majorHAnsi"/>
      <w:color w:val="005A87" w:themeColor="accent1" w:themeShade="BF"/>
    </w:rPr>
  </w:style>
  <w:style w:type="paragraph" w:styleId="TOC2">
    <w:name w:val="toc 2"/>
    <w:basedOn w:val="Normal"/>
    <w:next w:val="Normal"/>
    <w:autoRedefine/>
    <w:uiPriority w:val="39"/>
    <w:unhideWhenUsed/>
    <w:rsid w:val="006B3AF4"/>
    <w:pPr>
      <w:spacing w:after="100"/>
      <w:ind w:left="220"/>
    </w:pPr>
  </w:style>
  <w:style w:type="paragraph" w:styleId="TOC1">
    <w:name w:val="toc 1"/>
    <w:basedOn w:val="Normal"/>
    <w:next w:val="Normal"/>
    <w:autoRedefine/>
    <w:uiPriority w:val="39"/>
    <w:unhideWhenUsed/>
    <w:rsid w:val="006B3AF4"/>
    <w:pPr>
      <w:spacing w:after="100"/>
    </w:pPr>
  </w:style>
  <w:style w:type="character" w:styleId="Hyperlink">
    <w:name w:val="Hyperlink"/>
    <w:basedOn w:val="DefaultParagraphFont"/>
    <w:uiPriority w:val="99"/>
    <w:unhideWhenUsed/>
    <w:rsid w:val="006B3AF4"/>
    <w:rPr>
      <w:color w:val="0000FF" w:themeColor="hyperlink"/>
      <w:u w:val="single"/>
    </w:rPr>
  </w:style>
  <w:style w:type="paragraph" w:styleId="ListParagraph">
    <w:name w:val="List Paragraph"/>
    <w:basedOn w:val="Normal"/>
    <w:uiPriority w:val="34"/>
    <w:qFormat/>
    <w:rsid w:val="00441EEC"/>
    <w:pPr>
      <w:ind w:left="720"/>
      <w:contextualSpacing/>
    </w:pPr>
  </w:style>
  <w:style w:type="character" w:styleId="Emphasis">
    <w:name w:val="Emphasis"/>
    <w:basedOn w:val="DefaultParagraphFont"/>
    <w:uiPriority w:val="20"/>
    <w:qFormat/>
    <w:rsid w:val="0027194E"/>
    <w:rPr>
      <w:rFonts w:ascii="Segoe UI Semibold" w:hAnsi="Segoe UI Semibold"/>
      <w:i w:val="0"/>
      <w:iCs/>
      <w:sz w:val="22"/>
    </w:rPr>
  </w:style>
  <w:style w:type="paragraph" w:styleId="Title">
    <w:name w:val="Title"/>
    <w:basedOn w:val="Normal"/>
    <w:next w:val="Normal"/>
    <w:link w:val="TitleChar"/>
    <w:uiPriority w:val="10"/>
    <w:qFormat/>
    <w:rsid w:val="0027194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7194E"/>
    <w:rPr>
      <w:rFonts w:asciiTheme="majorHAnsi" w:eastAsiaTheme="majorEastAsia" w:hAnsiTheme="majorHAnsi" w:cstheme="majorBidi"/>
      <w:color w:val="auto"/>
      <w:spacing w:val="-10"/>
      <w:kern w:val="28"/>
      <w:sz w:val="56"/>
      <w:szCs w:val="56"/>
    </w:rPr>
  </w:style>
  <w:style w:type="table" w:styleId="TableGrid">
    <w:name w:val="Table Grid"/>
    <w:basedOn w:val="TableNormal"/>
    <w:uiPriority w:val="39"/>
    <w:rsid w:val="002F475C"/>
    <w:pPr>
      <w:spacing w:after="0"/>
    </w:pPr>
    <w:rPr>
      <w:rFonts w:ascii="Arial" w:eastAsia="Times New Roman" w:hAnsi="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6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671"/>
    <w:rPr>
      <w:rFonts w:ascii="Segoe UI" w:hAnsi="Segoe UI"/>
      <w:sz w:val="20"/>
      <w:szCs w:val="20"/>
    </w:rPr>
  </w:style>
  <w:style w:type="character" w:styleId="FootnoteReference">
    <w:name w:val="footnote reference"/>
    <w:basedOn w:val="DefaultParagraphFont"/>
    <w:uiPriority w:val="99"/>
    <w:semiHidden/>
    <w:unhideWhenUsed/>
    <w:rsid w:val="00FA6671"/>
    <w:rPr>
      <w:vertAlign w:val="superscript"/>
    </w:rPr>
  </w:style>
  <w:style w:type="character" w:customStyle="1" w:styleId="UnresolvedMention1">
    <w:name w:val="Unresolved Mention1"/>
    <w:basedOn w:val="DefaultParagraphFont"/>
    <w:uiPriority w:val="99"/>
    <w:semiHidden/>
    <w:unhideWhenUsed/>
    <w:rsid w:val="005579FB"/>
    <w:rPr>
      <w:color w:val="808080"/>
      <w:shd w:val="clear" w:color="auto" w:fill="E6E6E6"/>
    </w:rPr>
  </w:style>
  <w:style w:type="character" w:styleId="CommentReference">
    <w:name w:val="annotation reference"/>
    <w:basedOn w:val="DefaultParagraphFont"/>
    <w:uiPriority w:val="99"/>
    <w:semiHidden/>
    <w:unhideWhenUsed/>
    <w:rsid w:val="00C83ED3"/>
    <w:rPr>
      <w:sz w:val="16"/>
      <w:szCs w:val="16"/>
    </w:rPr>
  </w:style>
  <w:style w:type="paragraph" w:styleId="CommentText">
    <w:name w:val="annotation text"/>
    <w:basedOn w:val="Normal"/>
    <w:link w:val="CommentTextChar"/>
    <w:uiPriority w:val="99"/>
    <w:semiHidden/>
    <w:unhideWhenUsed/>
    <w:rsid w:val="00C83ED3"/>
    <w:pPr>
      <w:spacing w:line="240" w:lineRule="auto"/>
    </w:pPr>
    <w:rPr>
      <w:sz w:val="20"/>
      <w:szCs w:val="20"/>
    </w:rPr>
  </w:style>
  <w:style w:type="character" w:customStyle="1" w:styleId="CommentTextChar">
    <w:name w:val="Comment Text Char"/>
    <w:basedOn w:val="DefaultParagraphFont"/>
    <w:link w:val="CommentText"/>
    <w:uiPriority w:val="99"/>
    <w:semiHidden/>
    <w:rsid w:val="00C83ED3"/>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83ED3"/>
    <w:rPr>
      <w:b/>
      <w:bCs/>
    </w:rPr>
  </w:style>
  <w:style w:type="character" w:customStyle="1" w:styleId="CommentSubjectChar">
    <w:name w:val="Comment Subject Char"/>
    <w:basedOn w:val="CommentTextChar"/>
    <w:link w:val="CommentSubject"/>
    <w:uiPriority w:val="99"/>
    <w:semiHidden/>
    <w:rsid w:val="00C83ED3"/>
    <w:rPr>
      <w:rFonts w:ascii="Segoe UI" w:hAnsi="Segoe UI"/>
      <w:b/>
      <w:bCs/>
      <w:sz w:val="20"/>
      <w:szCs w:val="20"/>
    </w:rPr>
  </w:style>
  <w:style w:type="paragraph" w:styleId="BalloonText">
    <w:name w:val="Balloon Text"/>
    <w:basedOn w:val="Normal"/>
    <w:link w:val="BalloonTextChar"/>
    <w:uiPriority w:val="99"/>
    <w:semiHidden/>
    <w:unhideWhenUsed/>
    <w:rsid w:val="00C83ED3"/>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C83ED3"/>
    <w:rPr>
      <w:rFonts w:ascii="Segoe UI" w:hAnsi="Segoe UI" w:cs="Segoe UI"/>
      <w:sz w:val="18"/>
      <w:szCs w:val="18"/>
    </w:rPr>
  </w:style>
  <w:style w:type="character" w:styleId="UnresolvedMention">
    <w:name w:val="Unresolved Mention"/>
    <w:basedOn w:val="DefaultParagraphFont"/>
    <w:uiPriority w:val="99"/>
    <w:semiHidden/>
    <w:unhideWhenUsed/>
    <w:rsid w:val="00637F7B"/>
    <w:rPr>
      <w:color w:val="605E5C"/>
      <w:shd w:val="clear" w:color="auto" w:fill="E1DFDD"/>
    </w:rPr>
  </w:style>
  <w:style w:type="paragraph" w:styleId="Revision">
    <w:name w:val="Revision"/>
    <w:hidden/>
    <w:uiPriority w:val="99"/>
    <w:semiHidden/>
    <w:rsid w:val="004C71B4"/>
    <w:pPr>
      <w:spacing w:after="0"/>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46564">
      <w:bodyDiv w:val="1"/>
      <w:marLeft w:val="0"/>
      <w:marRight w:val="0"/>
      <w:marTop w:val="0"/>
      <w:marBottom w:val="0"/>
      <w:divBdr>
        <w:top w:val="none" w:sz="0" w:space="0" w:color="auto"/>
        <w:left w:val="none" w:sz="0" w:space="0" w:color="auto"/>
        <w:bottom w:val="none" w:sz="0" w:space="0" w:color="auto"/>
        <w:right w:val="none" w:sz="0" w:space="0" w:color="auto"/>
      </w:divBdr>
      <w:divsChild>
        <w:div w:id="531110030">
          <w:marLeft w:val="547"/>
          <w:marRight w:val="0"/>
          <w:marTop w:val="0"/>
          <w:marBottom w:val="0"/>
          <w:divBdr>
            <w:top w:val="none" w:sz="0" w:space="0" w:color="auto"/>
            <w:left w:val="none" w:sz="0" w:space="0" w:color="auto"/>
            <w:bottom w:val="none" w:sz="0" w:space="0" w:color="auto"/>
            <w:right w:val="none" w:sz="0" w:space="0" w:color="auto"/>
          </w:divBdr>
        </w:div>
        <w:div w:id="706949780">
          <w:marLeft w:val="1166"/>
          <w:marRight w:val="0"/>
          <w:marTop w:val="0"/>
          <w:marBottom w:val="0"/>
          <w:divBdr>
            <w:top w:val="none" w:sz="0" w:space="0" w:color="auto"/>
            <w:left w:val="none" w:sz="0" w:space="0" w:color="auto"/>
            <w:bottom w:val="none" w:sz="0" w:space="0" w:color="auto"/>
            <w:right w:val="none" w:sz="0" w:space="0" w:color="auto"/>
          </w:divBdr>
        </w:div>
        <w:div w:id="1103233492">
          <w:marLeft w:val="1166"/>
          <w:marRight w:val="0"/>
          <w:marTop w:val="0"/>
          <w:marBottom w:val="0"/>
          <w:divBdr>
            <w:top w:val="none" w:sz="0" w:space="0" w:color="auto"/>
            <w:left w:val="none" w:sz="0" w:space="0" w:color="auto"/>
            <w:bottom w:val="none" w:sz="0" w:space="0" w:color="auto"/>
            <w:right w:val="none" w:sz="0" w:space="0" w:color="auto"/>
          </w:divBdr>
        </w:div>
        <w:div w:id="968168898">
          <w:marLeft w:val="1166"/>
          <w:marRight w:val="0"/>
          <w:marTop w:val="0"/>
          <w:marBottom w:val="0"/>
          <w:divBdr>
            <w:top w:val="none" w:sz="0" w:space="0" w:color="auto"/>
            <w:left w:val="none" w:sz="0" w:space="0" w:color="auto"/>
            <w:bottom w:val="none" w:sz="0" w:space="0" w:color="auto"/>
            <w:right w:val="none" w:sz="0" w:space="0" w:color="auto"/>
          </w:divBdr>
        </w:div>
      </w:divsChild>
    </w:div>
    <w:div w:id="17776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TRHS\CCHE\Projects\KFH%20NCR%20-%20PHASE%20III\5--Reporting\Templates\PHASE%203.0%20-%202018%20memo%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650793650793648E-2"/>
          <c:y val="8.8247091857200158E-2"/>
          <c:w val="0.91269841269841268"/>
          <c:h val="0.67493766404199473"/>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c:v>
                </c:pt>
                <c:pt idx="1">
                  <c:v>Very good</c:v>
                </c:pt>
                <c:pt idx="2">
                  <c:v>Good</c:v>
                </c:pt>
                <c:pt idx="3">
                  <c:v>Fair or poor</c:v>
                </c:pt>
              </c:strCache>
            </c:strRef>
          </c:cat>
          <c:val>
            <c:numRef>
              <c:f>Sheet1!$B$2:$B$5</c:f>
              <c:numCache>
                <c:formatCode>General</c:formatCode>
                <c:ptCount val="4"/>
                <c:pt idx="0">
                  <c:v>13</c:v>
                </c:pt>
                <c:pt idx="1">
                  <c:v>2</c:v>
                </c:pt>
                <c:pt idx="2">
                  <c:v>1</c:v>
                </c:pt>
                <c:pt idx="3">
                  <c:v>0</c:v>
                </c:pt>
              </c:numCache>
            </c:numRef>
          </c:val>
          <c:extLst>
            <c:ext xmlns:c16="http://schemas.microsoft.com/office/drawing/2014/chart" uri="{C3380CC4-5D6E-409C-BE32-E72D297353CC}">
              <c16:uniqueId val="{00000000-71B9-4A1F-9BDB-9CAA64D3314F}"/>
            </c:ext>
          </c:extLst>
        </c:ser>
        <c:dLbls>
          <c:showLegendKey val="0"/>
          <c:showVal val="0"/>
          <c:showCatName val="0"/>
          <c:showSerName val="0"/>
          <c:showPercent val="0"/>
          <c:showBubbleSize val="0"/>
        </c:dLbls>
        <c:gapWidth val="50"/>
        <c:overlap val="-27"/>
        <c:axId val="451659184"/>
        <c:axId val="451659512"/>
      </c:barChart>
      <c:catAx>
        <c:axId val="45165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crossAx val="451659512"/>
        <c:crosses val="autoZero"/>
        <c:auto val="1"/>
        <c:lblAlgn val="ctr"/>
        <c:lblOffset val="100"/>
        <c:noMultiLvlLbl val="0"/>
      </c:catAx>
      <c:valAx>
        <c:axId val="451659512"/>
        <c:scaling>
          <c:orientation val="minMax"/>
        </c:scaling>
        <c:delete val="1"/>
        <c:axPos val="l"/>
        <c:numFmt formatCode="General" sourceLinked="1"/>
        <c:majorTickMark val="none"/>
        <c:minorTickMark val="none"/>
        <c:tickLblPos val="nextTo"/>
        <c:crossAx val="451659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9.6411386076740407E-2"/>
          <c:w val="0.94907407407407407"/>
          <c:h val="0.88374734408198974"/>
        </c:manualLayout>
      </c:layout>
      <c:barChart>
        <c:barDir val="bar"/>
        <c:grouping val="stacked"/>
        <c:varyColors val="0"/>
        <c:ser>
          <c:idx val="0"/>
          <c:order val="0"/>
          <c:tx>
            <c:strRef>
              <c:f>Sheet1!$B$1</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sv was valuable</c:v>
                </c:pt>
                <c:pt idx="1">
                  <c:v>sv demonstrated</c:v>
                </c:pt>
                <c:pt idx="2">
                  <c:v>Learn</c:v>
                </c:pt>
                <c:pt idx="3">
                  <c:v>debrief valuable</c:v>
                </c:pt>
                <c:pt idx="4">
                  <c:v>connections</c:v>
                </c:pt>
                <c:pt idx="5">
                  <c:v>confident</c:v>
                </c:pt>
              </c:strCache>
            </c:strRef>
          </c:cat>
          <c:val>
            <c:numRef>
              <c:f>Sheet1!$B$2:$B$7</c:f>
              <c:numCache>
                <c:formatCode>General</c:formatCode>
                <c:ptCount val="6"/>
                <c:pt idx="0">
                  <c:v>14</c:v>
                </c:pt>
                <c:pt idx="1">
                  <c:v>12</c:v>
                </c:pt>
                <c:pt idx="2">
                  <c:v>9</c:v>
                </c:pt>
                <c:pt idx="3">
                  <c:v>8</c:v>
                </c:pt>
                <c:pt idx="4">
                  <c:v>4</c:v>
                </c:pt>
                <c:pt idx="5">
                  <c:v>4</c:v>
                </c:pt>
              </c:numCache>
            </c:numRef>
          </c:val>
          <c:extLst>
            <c:ext xmlns:c16="http://schemas.microsoft.com/office/drawing/2014/chart" uri="{C3380CC4-5D6E-409C-BE32-E72D297353CC}">
              <c16:uniqueId val="{00000000-37A6-494D-BFE0-A16C61CCD20B}"/>
            </c:ext>
          </c:extLst>
        </c:ser>
        <c:ser>
          <c:idx val="1"/>
          <c:order val="1"/>
          <c:tx>
            <c:strRef>
              <c:f>Sheet1!$C$1</c:f>
              <c:strCache>
                <c:ptCount val="1"/>
                <c:pt idx="0">
                  <c:v>Agree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sv was valuable</c:v>
                </c:pt>
                <c:pt idx="1">
                  <c:v>sv demonstrated</c:v>
                </c:pt>
                <c:pt idx="2">
                  <c:v>Learn</c:v>
                </c:pt>
                <c:pt idx="3">
                  <c:v>debrief valuable</c:v>
                </c:pt>
                <c:pt idx="4">
                  <c:v>connections</c:v>
                </c:pt>
                <c:pt idx="5">
                  <c:v>confident</c:v>
                </c:pt>
              </c:strCache>
            </c:strRef>
          </c:cat>
          <c:val>
            <c:numRef>
              <c:f>Sheet1!$C$2:$C$7</c:f>
              <c:numCache>
                <c:formatCode>General</c:formatCode>
                <c:ptCount val="6"/>
                <c:pt idx="0">
                  <c:v>2</c:v>
                </c:pt>
                <c:pt idx="1">
                  <c:v>4</c:v>
                </c:pt>
                <c:pt idx="2">
                  <c:v>7</c:v>
                </c:pt>
                <c:pt idx="3">
                  <c:v>7</c:v>
                </c:pt>
                <c:pt idx="4">
                  <c:v>10</c:v>
                </c:pt>
                <c:pt idx="5">
                  <c:v>10</c:v>
                </c:pt>
              </c:numCache>
            </c:numRef>
          </c:val>
          <c:extLst>
            <c:ext xmlns:c16="http://schemas.microsoft.com/office/drawing/2014/chart" uri="{C3380CC4-5D6E-409C-BE32-E72D297353CC}">
              <c16:uniqueId val="{00000001-37A6-494D-BFE0-A16C61CCD20B}"/>
            </c:ext>
          </c:extLst>
        </c:ser>
        <c:ser>
          <c:idx val="2"/>
          <c:order val="2"/>
          <c:tx>
            <c:strRef>
              <c:f>Sheet1!$D$1</c:f>
              <c:strCache>
                <c:ptCount val="1"/>
                <c:pt idx="0">
                  <c:v>Neutral</c:v>
                </c:pt>
              </c:strCache>
            </c:strRef>
          </c:tx>
          <c:spPr>
            <a:solidFill>
              <a:schemeClr val="bg1">
                <a:lumMod val="8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37A6-494D-BFE0-A16C61CCD20B}"/>
                </c:ext>
              </c:extLst>
            </c:dLbl>
            <c:dLbl>
              <c:idx val="1"/>
              <c:delete val="1"/>
              <c:extLst>
                <c:ext xmlns:c15="http://schemas.microsoft.com/office/drawing/2012/chart" uri="{CE6537A1-D6FC-4f65-9D91-7224C49458BB}"/>
                <c:ext xmlns:c16="http://schemas.microsoft.com/office/drawing/2014/chart" uri="{C3380CC4-5D6E-409C-BE32-E72D297353CC}">
                  <c16:uniqueId val="{00000000-5709-49D4-B72D-DB516432C77A}"/>
                </c:ext>
              </c:extLst>
            </c:dLbl>
            <c:dLbl>
              <c:idx val="2"/>
              <c:delete val="1"/>
              <c:extLst>
                <c:ext xmlns:c15="http://schemas.microsoft.com/office/drawing/2012/chart" uri="{CE6537A1-D6FC-4f65-9D91-7224C49458BB}"/>
                <c:ext xmlns:c16="http://schemas.microsoft.com/office/drawing/2014/chart" uri="{C3380CC4-5D6E-409C-BE32-E72D297353CC}">
                  <c16:uniqueId val="{00000003-37A6-494D-BFE0-A16C61CCD20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sv was valuable</c:v>
                </c:pt>
                <c:pt idx="1">
                  <c:v>sv demonstrated</c:v>
                </c:pt>
                <c:pt idx="2">
                  <c:v>Learn</c:v>
                </c:pt>
                <c:pt idx="3">
                  <c:v>debrief valuable</c:v>
                </c:pt>
                <c:pt idx="4">
                  <c:v>connections</c:v>
                </c:pt>
                <c:pt idx="5">
                  <c:v>confident</c:v>
                </c:pt>
              </c:strCache>
            </c:strRef>
          </c:cat>
          <c:val>
            <c:numRef>
              <c:f>Sheet1!$D$2:$D$7</c:f>
              <c:numCache>
                <c:formatCode>General</c:formatCode>
                <c:ptCount val="6"/>
                <c:pt idx="0">
                  <c:v>0</c:v>
                </c:pt>
                <c:pt idx="1">
                  <c:v>0</c:v>
                </c:pt>
                <c:pt idx="2">
                  <c:v>0</c:v>
                </c:pt>
                <c:pt idx="3">
                  <c:v>1</c:v>
                </c:pt>
                <c:pt idx="4">
                  <c:v>1</c:v>
                </c:pt>
                <c:pt idx="5">
                  <c:v>2</c:v>
                </c:pt>
              </c:numCache>
            </c:numRef>
          </c:val>
          <c:extLst>
            <c:ext xmlns:c16="http://schemas.microsoft.com/office/drawing/2014/chart" uri="{C3380CC4-5D6E-409C-BE32-E72D297353CC}">
              <c16:uniqueId val="{00000005-37A6-494D-BFE0-A16C61CCD20B}"/>
            </c:ext>
          </c:extLst>
        </c:ser>
        <c:dLbls>
          <c:showLegendKey val="0"/>
          <c:showVal val="0"/>
          <c:showCatName val="0"/>
          <c:showSerName val="0"/>
          <c:showPercent val="0"/>
          <c:showBubbleSize val="0"/>
        </c:dLbls>
        <c:gapWidth val="60"/>
        <c:overlap val="100"/>
        <c:axId val="166624056"/>
        <c:axId val="166613232"/>
      </c:barChart>
      <c:catAx>
        <c:axId val="166624056"/>
        <c:scaling>
          <c:orientation val="maxMin"/>
        </c:scaling>
        <c:delete val="1"/>
        <c:axPos val="l"/>
        <c:numFmt formatCode="General" sourceLinked="1"/>
        <c:majorTickMark val="none"/>
        <c:minorTickMark val="none"/>
        <c:tickLblPos val="nextTo"/>
        <c:crossAx val="166613232"/>
        <c:crosses val="autoZero"/>
        <c:auto val="1"/>
        <c:lblAlgn val="ctr"/>
        <c:lblOffset val="100"/>
        <c:noMultiLvlLbl val="0"/>
      </c:catAx>
      <c:valAx>
        <c:axId val="166613232"/>
        <c:scaling>
          <c:orientation val="minMax"/>
          <c:max val="16.2"/>
          <c:min val="0"/>
        </c:scaling>
        <c:delete val="1"/>
        <c:axPos val="t"/>
        <c:numFmt formatCode="General" sourceLinked="1"/>
        <c:majorTickMark val="none"/>
        <c:minorTickMark val="none"/>
        <c:tickLblPos val="nextTo"/>
        <c:crossAx val="166624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PHASE">
      <a:dk1>
        <a:sysClr val="windowText" lastClr="000000"/>
      </a:dk1>
      <a:lt1>
        <a:sysClr val="window" lastClr="FFFFFF"/>
      </a:lt1>
      <a:dk2>
        <a:srgbClr val="00667F"/>
      </a:dk2>
      <a:lt2>
        <a:srgbClr val="EEECE1"/>
      </a:lt2>
      <a:accent1>
        <a:srgbClr val="0079B5"/>
      </a:accent1>
      <a:accent2>
        <a:srgbClr val="ED7528"/>
      </a:accent2>
      <a:accent3>
        <a:srgbClr val="FFA62F"/>
      </a:accent3>
      <a:accent4>
        <a:srgbClr val="89B71B"/>
      </a:accent4>
      <a:accent5>
        <a:srgbClr val="963484"/>
      </a:accent5>
      <a:accent6>
        <a:srgbClr val="FF715B"/>
      </a:accent6>
      <a:hlink>
        <a:srgbClr val="0000FF"/>
      </a:hlink>
      <a:folHlink>
        <a:srgbClr val="800080"/>
      </a:folHlink>
    </a:clrScheme>
    <a:fontScheme name="Segoe UI">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B5E70-DAE8-4F5F-885A-0778DE60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PHASE 3.0 - 2018 memo template.dotx</Template>
  <TotalTime>3</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Levitz, Carly</dc:creator>
  <cp:lastModifiedBy>Jennie A. Schoeppe</cp:lastModifiedBy>
  <cp:revision>5</cp:revision>
  <dcterms:created xsi:type="dcterms:W3CDTF">2019-07-18T19:01:00Z</dcterms:created>
  <dcterms:modified xsi:type="dcterms:W3CDTF">2019-07-18T20:34:00Z</dcterms:modified>
</cp:coreProperties>
</file>