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1EC9" w14:textId="77777777" w:rsidR="00307D02" w:rsidRDefault="00307D02" w:rsidP="00307D02">
      <w:pPr>
        <w:spacing w:before="100" w:beforeAutospacing="1" w:after="100" w:afterAutospacing="1"/>
        <w:jc w:val="center"/>
        <w:rPr>
          <w:rFonts w:eastAsia="Times New Roman"/>
        </w:rPr>
      </w:pPr>
      <w:r>
        <w:rPr>
          <w:rFonts w:asciiTheme="majorHAnsi" w:hAnsiTheme="majorHAnsi"/>
          <w:b/>
          <w:noProof/>
          <w:color w:val="00578A" w:themeColor="accent1" w:themeShade="BF"/>
          <w:sz w:val="28"/>
          <w:szCs w:val="28"/>
        </w:rPr>
        <w:drawing>
          <wp:inline distT="0" distB="0" distL="0" distR="0" wp14:anchorId="14EF2C0D" wp14:editId="3679B408">
            <wp:extent cx="2667000" cy="1019175"/>
            <wp:effectExtent l="0" t="0" r="0" b="9525"/>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 name="PHASE_logo.png"/>
                    <pic:cNvPicPr/>
                  </pic:nvPicPr>
                  <pic:blipFill>
                    <a:blip r:embed="rId7">
                      <a:extLst>
                        <a:ext uri="{28A0092B-C50C-407E-A947-70E740481C1C}">
                          <a14:useLocalDpi xmlns:a14="http://schemas.microsoft.com/office/drawing/2010/main" val="0"/>
                        </a:ext>
                      </a:extLst>
                    </a:blip>
                    <a:stretch>
                      <a:fillRect/>
                    </a:stretch>
                  </pic:blipFill>
                  <pic:spPr>
                    <a:xfrm>
                      <a:off x="0" y="0"/>
                      <a:ext cx="2667000" cy="1019175"/>
                    </a:xfrm>
                    <a:prstGeom prst="rect">
                      <a:avLst/>
                    </a:prstGeom>
                  </pic:spPr>
                </pic:pic>
              </a:graphicData>
            </a:graphic>
          </wp:inline>
        </w:drawing>
      </w:r>
    </w:p>
    <w:p w14:paraId="44D3DDB9" w14:textId="77777777" w:rsidR="00307D02" w:rsidRDefault="00297ADF" w:rsidP="00112126">
      <w:pPr>
        <w:pStyle w:val="Heading1"/>
        <w:spacing w:before="0"/>
        <w:jc w:val="center"/>
        <w:rPr>
          <w:rFonts w:eastAsia="Times New Roman"/>
        </w:rPr>
      </w:pPr>
      <w:r>
        <w:rPr>
          <w:rFonts w:eastAsia="Times New Roman"/>
        </w:rPr>
        <w:t>Clinical and Quality Measures: FAQ</w:t>
      </w:r>
    </w:p>
    <w:p w14:paraId="0EEDD30F" w14:textId="75A5F261" w:rsidR="00297ADF" w:rsidRPr="00297ADF" w:rsidRDefault="00C85562" w:rsidP="00297ADF">
      <w:pPr>
        <w:pStyle w:val="Heading2"/>
        <w:jc w:val="center"/>
        <w:rPr>
          <w:b w:val="0"/>
        </w:rPr>
      </w:pPr>
      <w:r>
        <w:rPr>
          <w:b w:val="0"/>
        </w:rPr>
        <w:t xml:space="preserve">Don’t see your question here? Email Carly Levitz at </w:t>
      </w:r>
      <w:r w:rsidR="00673600">
        <w:rPr>
          <w:b w:val="0"/>
        </w:rPr>
        <w:t>carly.e.levitz@kp.org</w:t>
      </w:r>
    </w:p>
    <w:p w14:paraId="54C6998D" w14:textId="77777777" w:rsidR="00722C6A" w:rsidRPr="00515A2D" w:rsidRDefault="00515A2D" w:rsidP="00515A2D">
      <w:pPr>
        <w:pStyle w:val="Heading2"/>
        <w:rPr>
          <w:rFonts w:eastAsia="Times New Roman"/>
          <w:b w:val="0"/>
        </w:rPr>
      </w:pPr>
      <w:bookmarkStart w:id="0" w:name="GeneralReporting"/>
      <w:bookmarkStart w:id="1" w:name="Contents"/>
      <w:bookmarkEnd w:id="0"/>
      <w:bookmarkEnd w:id="1"/>
      <w:r w:rsidRPr="00515A2D">
        <w:rPr>
          <w:rFonts w:eastAsia="Times New Roman"/>
          <w:b w:val="0"/>
        </w:rPr>
        <w:t xml:space="preserve">Table of </w:t>
      </w:r>
      <w:r w:rsidR="00722C6A" w:rsidRPr="00515A2D">
        <w:rPr>
          <w:rFonts w:eastAsia="Times New Roman"/>
          <w:b w:val="0"/>
        </w:rPr>
        <w:t>Contents</w:t>
      </w:r>
    </w:p>
    <w:p w14:paraId="61FD8B6A" w14:textId="519B4F8B" w:rsidR="00722C6A" w:rsidRPr="00722C6A" w:rsidRDefault="00B127E8" w:rsidP="00722C6A">
      <w:pPr>
        <w:spacing w:after="0"/>
        <w:rPr>
          <w:rFonts w:eastAsia="Times New Roman"/>
        </w:rPr>
      </w:pPr>
      <w:hyperlink w:anchor="GeneralReporting" w:history="1">
        <w:r w:rsidR="00722C6A" w:rsidRPr="00722C6A">
          <w:rPr>
            <w:rStyle w:val="Hyperlink"/>
            <w:rFonts w:eastAsia="Times New Roman"/>
          </w:rPr>
          <w:t>General reporting questions</w:t>
        </w:r>
      </w:hyperlink>
      <w:r>
        <w:rPr>
          <w:rStyle w:val="Hyperlink"/>
          <w:rFonts w:eastAsia="Times New Roman"/>
        </w:rPr>
        <w:t xml:space="preserve"> </w:t>
      </w:r>
      <w:r w:rsidRPr="007B0C8B">
        <w:rPr>
          <w:rFonts w:eastAsia="Times New Roman"/>
          <w:color w:val="FF0000"/>
        </w:rPr>
        <w:t>*</w:t>
      </w:r>
      <w:r>
        <w:rPr>
          <w:rFonts w:eastAsia="Times New Roman"/>
          <w:color w:val="FF0000"/>
        </w:rPr>
        <w:t>NEW</w:t>
      </w:r>
      <w:r w:rsidRPr="007B0C8B">
        <w:rPr>
          <w:rFonts w:eastAsia="Times New Roman"/>
          <w:color w:val="FF0000"/>
        </w:rPr>
        <w:t>*</w:t>
      </w:r>
    </w:p>
    <w:p w14:paraId="56DA4F80" w14:textId="77777777" w:rsidR="00722C6A" w:rsidRPr="00722C6A" w:rsidRDefault="00722C6A" w:rsidP="00722C6A">
      <w:pPr>
        <w:spacing w:after="0"/>
        <w:rPr>
          <w:rFonts w:eastAsia="Times New Roman"/>
        </w:rPr>
      </w:pPr>
      <w:r w:rsidRPr="00722C6A">
        <w:rPr>
          <w:rFonts w:eastAsia="Times New Roman"/>
        </w:rPr>
        <w:t>Patient reach measures</w:t>
      </w:r>
    </w:p>
    <w:p w14:paraId="1028D438" w14:textId="77777777" w:rsidR="00722C6A" w:rsidRPr="00722C6A" w:rsidRDefault="00B127E8" w:rsidP="00722C6A">
      <w:pPr>
        <w:pStyle w:val="ListParagraph"/>
        <w:numPr>
          <w:ilvl w:val="0"/>
          <w:numId w:val="10"/>
        </w:numPr>
        <w:rPr>
          <w:rFonts w:eastAsia="Times New Roman"/>
        </w:rPr>
      </w:pPr>
      <w:hyperlink w:anchor="Hypertension" w:history="1">
        <w:r w:rsidR="00722C6A" w:rsidRPr="00722C6A">
          <w:rPr>
            <w:rStyle w:val="Hyperlink"/>
            <w:rFonts w:eastAsia="Times New Roman"/>
          </w:rPr>
          <w:t>Hypertension</w:t>
        </w:r>
      </w:hyperlink>
    </w:p>
    <w:p w14:paraId="09621F58" w14:textId="77777777" w:rsidR="00722C6A" w:rsidRPr="00722C6A" w:rsidRDefault="00B127E8" w:rsidP="00722C6A">
      <w:pPr>
        <w:pStyle w:val="ListParagraph"/>
        <w:numPr>
          <w:ilvl w:val="0"/>
          <w:numId w:val="10"/>
        </w:numPr>
        <w:rPr>
          <w:rFonts w:eastAsia="Times New Roman"/>
        </w:rPr>
      </w:pPr>
      <w:hyperlink w:anchor="ASCVD" w:history="1">
        <w:r w:rsidR="00722C6A" w:rsidRPr="00722C6A">
          <w:rPr>
            <w:rStyle w:val="Hyperlink"/>
            <w:rFonts w:eastAsia="Times New Roman"/>
          </w:rPr>
          <w:t>ASCVD</w:t>
        </w:r>
      </w:hyperlink>
    </w:p>
    <w:p w14:paraId="145932E3" w14:textId="77777777" w:rsidR="00722C6A" w:rsidRPr="00722C6A" w:rsidRDefault="00B127E8" w:rsidP="00722C6A">
      <w:pPr>
        <w:pStyle w:val="ListParagraph"/>
        <w:numPr>
          <w:ilvl w:val="0"/>
          <w:numId w:val="10"/>
        </w:numPr>
        <w:rPr>
          <w:rFonts w:eastAsia="Times New Roman"/>
        </w:rPr>
      </w:pPr>
      <w:hyperlink w:anchor="UnduplicatedPts" w:history="1">
        <w:r w:rsidR="00722C6A" w:rsidRPr="00722C6A">
          <w:rPr>
            <w:rStyle w:val="Hyperlink"/>
            <w:rFonts w:eastAsia="Times New Roman"/>
          </w:rPr>
          <w:t>Unduplicated patients</w:t>
        </w:r>
      </w:hyperlink>
    </w:p>
    <w:p w14:paraId="3D01DF9E" w14:textId="77777777" w:rsidR="00722C6A" w:rsidRPr="00722C6A" w:rsidRDefault="00722C6A" w:rsidP="00722C6A">
      <w:pPr>
        <w:spacing w:after="0"/>
        <w:rPr>
          <w:rFonts w:eastAsia="Times New Roman"/>
        </w:rPr>
      </w:pPr>
      <w:r w:rsidRPr="00722C6A">
        <w:rPr>
          <w:rFonts w:eastAsia="Times New Roman"/>
        </w:rPr>
        <w:t>HEDIS measures</w:t>
      </w:r>
    </w:p>
    <w:p w14:paraId="409B892C" w14:textId="2B2D887A" w:rsidR="00B561F2" w:rsidRPr="00B561F2" w:rsidRDefault="00B561F2" w:rsidP="00722C6A">
      <w:pPr>
        <w:pStyle w:val="ListParagraph"/>
        <w:numPr>
          <w:ilvl w:val="0"/>
          <w:numId w:val="10"/>
        </w:numPr>
        <w:rPr>
          <w:rFonts w:eastAsia="Times New Roman"/>
        </w:rPr>
      </w:pPr>
      <w:hyperlink w:anchor="HEDISpercentiles" w:history="1">
        <w:r w:rsidRPr="00B561F2">
          <w:rPr>
            <w:rStyle w:val="Hyperlink"/>
            <w:rFonts w:eastAsia="Times New Roman"/>
          </w:rPr>
          <w:t>HEDIS percentile definition</w:t>
        </w:r>
      </w:hyperlink>
      <w:r w:rsidR="007B0C8B">
        <w:rPr>
          <w:rFonts w:eastAsia="Times New Roman"/>
        </w:rPr>
        <w:t xml:space="preserve"> </w:t>
      </w:r>
      <w:r w:rsidR="007B0C8B" w:rsidRPr="007B0C8B">
        <w:rPr>
          <w:rFonts w:eastAsia="Times New Roman"/>
          <w:color w:val="FF0000"/>
        </w:rPr>
        <w:t>*NEW*</w:t>
      </w:r>
    </w:p>
    <w:p w14:paraId="0BEC903C" w14:textId="1EF1E2EE" w:rsidR="00722C6A" w:rsidRPr="00722C6A" w:rsidRDefault="00B127E8" w:rsidP="00722C6A">
      <w:pPr>
        <w:pStyle w:val="ListParagraph"/>
        <w:numPr>
          <w:ilvl w:val="0"/>
          <w:numId w:val="10"/>
        </w:numPr>
        <w:rPr>
          <w:rFonts w:eastAsia="Times New Roman"/>
        </w:rPr>
      </w:pPr>
      <w:hyperlink w:anchor="BloodPressure" w:history="1">
        <w:r w:rsidR="00722C6A" w:rsidRPr="00722C6A">
          <w:rPr>
            <w:rStyle w:val="Hyperlink"/>
            <w:rFonts w:eastAsia="Times New Roman"/>
          </w:rPr>
          <w:t>Blood pressure control</w:t>
        </w:r>
      </w:hyperlink>
    </w:p>
    <w:p w14:paraId="0D660D7D" w14:textId="77777777" w:rsidR="00722C6A" w:rsidRPr="00722C6A" w:rsidRDefault="00B127E8" w:rsidP="00722C6A">
      <w:pPr>
        <w:pStyle w:val="ListParagraph"/>
        <w:numPr>
          <w:ilvl w:val="0"/>
          <w:numId w:val="10"/>
        </w:numPr>
        <w:rPr>
          <w:rFonts w:eastAsia="Times New Roman"/>
        </w:rPr>
      </w:pPr>
      <w:hyperlink w:anchor="DiabetesA1c" w:history="1">
        <w:r w:rsidR="00722C6A" w:rsidRPr="00722C6A">
          <w:rPr>
            <w:rStyle w:val="Hyperlink"/>
            <w:rFonts w:eastAsia="Times New Roman"/>
          </w:rPr>
          <w:t>Diabetes A1c control</w:t>
        </w:r>
      </w:hyperlink>
    </w:p>
    <w:p w14:paraId="1F203706" w14:textId="77777777" w:rsidR="00722C6A" w:rsidRPr="00722C6A" w:rsidRDefault="00722C6A" w:rsidP="00722C6A">
      <w:pPr>
        <w:spacing w:after="0"/>
        <w:rPr>
          <w:rFonts w:eastAsia="Times New Roman"/>
        </w:rPr>
      </w:pPr>
      <w:r w:rsidRPr="00722C6A">
        <w:rPr>
          <w:rFonts w:eastAsia="Times New Roman"/>
        </w:rPr>
        <w:t>UDS measures</w:t>
      </w:r>
    </w:p>
    <w:p w14:paraId="31EBA704" w14:textId="77777777" w:rsidR="00722C6A" w:rsidRPr="00722C6A" w:rsidRDefault="00B127E8" w:rsidP="00722C6A">
      <w:pPr>
        <w:pStyle w:val="ListParagraph"/>
        <w:numPr>
          <w:ilvl w:val="0"/>
          <w:numId w:val="10"/>
        </w:numPr>
        <w:rPr>
          <w:rFonts w:eastAsia="Times New Roman"/>
        </w:rPr>
      </w:pPr>
      <w:hyperlink w:anchor="FollowUpDefinitions" w:history="1">
        <w:r w:rsidR="00722C6A" w:rsidRPr="00722C6A">
          <w:rPr>
            <w:rStyle w:val="Hyperlink"/>
            <w:rFonts w:eastAsia="Times New Roman"/>
          </w:rPr>
          <w:t>Follow-up definitions</w:t>
        </w:r>
      </w:hyperlink>
    </w:p>
    <w:p w14:paraId="38730305" w14:textId="77777777" w:rsidR="00722C6A" w:rsidRPr="00594981" w:rsidRDefault="00B127E8" w:rsidP="00722C6A">
      <w:pPr>
        <w:pStyle w:val="ListParagraph"/>
        <w:numPr>
          <w:ilvl w:val="0"/>
          <w:numId w:val="10"/>
        </w:numPr>
        <w:rPr>
          <w:rStyle w:val="Hyperlink"/>
          <w:rFonts w:eastAsia="Times New Roman"/>
          <w:color w:val="auto"/>
          <w:u w:val="none"/>
        </w:rPr>
      </w:pPr>
      <w:hyperlink w:anchor="BMI" w:history="1">
        <w:r w:rsidR="00722C6A" w:rsidRPr="00722C6A">
          <w:rPr>
            <w:rStyle w:val="Hyperlink"/>
            <w:rFonts w:eastAsia="Times New Roman"/>
          </w:rPr>
          <w:t>BMI</w:t>
        </w:r>
      </w:hyperlink>
    </w:p>
    <w:p w14:paraId="2F47A3FE" w14:textId="77777777" w:rsidR="00594981" w:rsidRPr="00722C6A" w:rsidRDefault="00B127E8" w:rsidP="00722C6A">
      <w:pPr>
        <w:pStyle w:val="ListParagraph"/>
        <w:numPr>
          <w:ilvl w:val="0"/>
          <w:numId w:val="10"/>
        </w:numPr>
        <w:rPr>
          <w:rFonts w:eastAsia="Times New Roman"/>
        </w:rPr>
      </w:pPr>
      <w:hyperlink w:anchor="Tobacco" w:history="1">
        <w:r w:rsidR="00594981" w:rsidRPr="00594981">
          <w:rPr>
            <w:rStyle w:val="Hyperlink"/>
            <w:rFonts w:eastAsia="Times New Roman"/>
          </w:rPr>
          <w:t>Tobacco</w:t>
        </w:r>
      </w:hyperlink>
    </w:p>
    <w:p w14:paraId="6A6B248F" w14:textId="77777777" w:rsidR="00722C6A" w:rsidRPr="00722C6A" w:rsidRDefault="00B127E8" w:rsidP="00722C6A">
      <w:pPr>
        <w:spacing w:after="0"/>
        <w:rPr>
          <w:rFonts w:eastAsia="Times New Roman"/>
        </w:rPr>
      </w:pPr>
      <w:hyperlink w:anchor="Prescriptions" w:history="1">
        <w:r w:rsidR="00722C6A" w:rsidRPr="00722C6A">
          <w:rPr>
            <w:rStyle w:val="Hyperlink"/>
            <w:rFonts w:eastAsia="Times New Roman"/>
          </w:rPr>
          <w:t>Prescription measures</w:t>
        </w:r>
      </w:hyperlink>
    </w:p>
    <w:p w14:paraId="2B666142" w14:textId="59F8EB9D" w:rsidR="00722C6A" w:rsidRDefault="00B127E8" w:rsidP="00722C6A">
      <w:pPr>
        <w:spacing w:after="0"/>
        <w:rPr>
          <w:rStyle w:val="Hyperlink"/>
          <w:rFonts w:eastAsia="Times New Roman"/>
        </w:rPr>
      </w:pPr>
      <w:hyperlink w:anchor="Resources" w:history="1">
        <w:r w:rsidR="008B3CF4">
          <w:rPr>
            <w:rStyle w:val="Hyperlink"/>
            <w:rFonts w:eastAsia="Times New Roman"/>
          </w:rPr>
          <w:t xml:space="preserve">Published </w:t>
        </w:r>
        <w:r w:rsidR="00722C6A" w:rsidRPr="00722C6A">
          <w:rPr>
            <w:rStyle w:val="Hyperlink"/>
            <w:rFonts w:eastAsia="Times New Roman"/>
          </w:rPr>
          <w:t>resources</w:t>
        </w:r>
      </w:hyperlink>
    </w:p>
    <w:p w14:paraId="3D73D754" w14:textId="5B544859" w:rsidR="00055AF7" w:rsidRDefault="00055AF7" w:rsidP="00722C6A">
      <w:pPr>
        <w:spacing w:after="0"/>
        <w:rPr>
          <w:rFonts w:eastAsia="Times New Roman"/>
        </w:rPr>
      </w:pPr>
      <w:hyperlink w:anchor="AlignmentWithOtherReporting" w:history="1">
        <w:r w:rsidRPr="00055AF7">
          <w:rPr>
            <w:rStyle w:val="Hyperlink"/>
            <w:rFonts w:eastAsia="Times New Roman"/>
          </w:rPr>
          <w:t>Alignment with ot</w:t>
        </w:r>
        <w:r w:rsidRPr="00055AF7">
          <w:rPr>
            <w:rStyle w:val="Hyperlink"/>
            <w:rFonts w:eastAsia="Times New Roman"/>
          </w:rPr>
          <w:t>h</w:t>
        </w:r>
        <w:r w:rsidRPr="00055AF7">
          <w:rPr>
            <w:rStyle w:val="Hyperlink"/>
            <w:rFonts w:eastAsia="Times New Roman"/>
          </w:rPr>
          <w:t>er repo</w:t>
        </w:r>
        <w:r w:rsidRPr="00055AF7">
          <w:rPr>
            <w:rStyle w:val="Hyperlink"/>
            <w:rFonts w:eastAsia="Times New Roman"/>
          </w:rPr>
          <w:t>r</w:t>
        </w:r>
        <w:r w:rsidRPr="00055AF7">
          <w:rPr>
            <w:rStyle w:val="Hyperlink"/>
            <w:rFonts w:eastAsia="Times New Roman"/>
          </w:rPr>
          <w:t>ting requirements</w:t>
        </w:r>
      </w:hyperlink>
      <w:r w:rsidR="007B0C8B">
        <w:rPr>
          <w:rStyle w:val="Hyperlink"/>
          <w:rFonts w:eastAsia="Times New Roman"/>
        </w:rPr>
        <w:t xml:space="preserve"> </w:t>
      </w:r>
      <w:r w:rsidR="007B0C8B" w:rsidRPr="007B0C8B">
        <w:rPr>
          <w:rFonts w:eastAsia="Times New Roman"/>
          <w:color w:val="FF0000"/>
        </w:rPr>
        <w:t>*NEW*</w:t>
      </w:r>
    </w:p>
    <w:p w14:paraId="11ADFC9E" w14:textId="77777777" w:rsidR="006B18E4" w:rsidRPr="00722C6A" w:rsidRDefault="00B127E8" w:rsidP="00722C6A">
      <w:pPr>
        <w:spacing w:after="0"/>
        <w:rPr>
          <w:rFonts w:eastAsia="Times New Roman"/>
        </w:rPr>
      </w:pPr>
      <w:hyperlink w:anchor="ReportingChecklist" w:history="1">
        <w:r w:rsidR="006B18E4" w:rsidRPr="006B18E4">
          <w:rPr>
            <w:rStyle w:val="Hyperlink"/>
            <w:rFonts w:eastAsia="Times New Roman"/>
          </w:rPr>
          <w:t>PHASE reporting checklist</w:t>
        </w:r>
        <w:r w:rsidR="006B18E4" w:rsidRPr="006B18E4">
          <w:rPr>
            <w:rStyle w:val="Hyperlink"/>
            <w:rFonts w:eastAsia="Times New Roman"/>
          </w:rPr>
          <w:t xml:space="preserve"> </w:t>
        </w:r>
        <w:r w:rsidR="006B18E4" w:rsidRPr="006B18E4">
          <w:rPr>
            <w:rStyle w:val="Hyperlink"/>
            <w:rFonts w:eastAsia="Times New Roman"/>
          </w:rPr>
          <w:t>(from CHCN)</w:t>
        </w:r>
      </w:hyperlink>
    </w:p>
    <w:p w14:paraId="5AC0F27E" w14:textId="77777777" w:rsidR="00722C6A" w:rsidRPr="00722C6A" w:rsidRDefault="00722C6A" w:rsidP="00722C6A">
      <w:pPr>
        <w:spacing w:after="0"/>
        <w:rPr>
          <w:rFonts w:eastAsia="Times New Roman"/>
          <w:b/>
        </w:rPr>
      </w:pPr>
    </w:p>
    <w:p w14:paraId="3723B559" w14:textId="77777777" w:rsidR="004A0028" w:rsidRPr="004A0028" w:rsidRDefault="00E924F2" w:rsidP="004A0028">
      <w:pPr>
        <w:spacing w:before="100" w:beforeAutospacing="1" w:after="100" w:afterAutospacing="1"/>
        <w:rPr>
          <w:rFonts w:eastAsia="Times New Roman"/>
          <w:b/>
        </w:rPr>
      </w:pPr>
      <w:r>
        <w:rPr>
          <w:rFonts w:eastAsia="Times New Roman"/>
          <w:b/>
        </w:rPr>
        <w:t>General reporting</w:t>
      </w:r>
    </w:p>
    <w:p w14:paraId="6FF0EE8C" w14:textId="77777777" w:rsidR="00954C31" w:rsidRPr="002725FD" w:rsidRDefault="00954C31" w:rsidP="002725FD">
      <w:pPr>
        <w:pStyle w:val="ListParagraph"/>
        <w:numPr>
          <w:ilvl w:val="0"/>
          <w:numId w:val="3"/>
        </w:numPr>
        <w:spacing w:before="100" w:beforeAutospacing="1" w:after="100" w:afterAutospacing="1"/>
        <w:rPr>
          <w:rFonts w:eastAsia="Times New Roman"/>
        </w:rPr>
      </w:pPr>
      <w:r w:rsidRPr="002725FD">
        <w:rPr>
          <w:rFonts w:eastAsia="Times New Roman"/>
        </w:rPr>
        <w:t>We have multiple clinics/sites within our organization. For which do we need to report PHASE data on a quarterly basis?</w:t>
      </w:r>
    </w:p>
    <w:p w14:paraId="08FC5B30" w14:textId="77777777" w:rsidR="00954C31" w:rsidRDefault="00954C31" w:rsidP="00954C31">
      <w:pPr>
        <w:spacing w:before="100" w:beforeAutospacing="1" w:after="100" w:afterAutospacing="1"/>
        <w:ind w:left="720"/>
        <w:rPr>
          <w:rFonts w:eastAsia="Times New Roman"/>
        </w:rPr>
      </w:pPr>
      <w:r>
        <w:rPr>
          <w:rFonts w:eastAsia="Times New Roman"/>
          <w:color w:val="0075B9" w:themeColor="accent1"/>
        </w:rPr>
        <w:t xml:space="preserve">Report data for all clinics/sites that are participating in PHASE. “Participation” could include clinics/sites that are implementing QI work, implementing </w:t>
      </w:r>
      <w:r w:rsidR="0095064A">
        <w:rPr>
          <w:rFonts w:eastAsia="Times New Roman"/>
          <w:color w:val="0075B9" w:themeColor="accent1"/>
        </w:rPr>
        <w:t>team-based care</w:t>
      </w:r>
      <w:r>
        <w:rPr>
          <w:rFonts w:eastAsia="Times New Roman"/>
          <w:color w:val="0075B9" w:themeColor="accent1"/>
        </w:rPr>
        <w:t xml:space="preserve"> models, receiving training from CCI or coaching from TMIT, using the PHASE medication protocol (“PHASE on a Page”), etc.</w:t>
      </w:r>
    </w:p>
    <w:p w14:paraId="5442EA52" w14:textId="77777777" w:rsidR="001457F1" w:rsidRDefault="001457F1" w:rsidP="002725FD">
      <w:pPr>
        <w:numPr>
          <w:ilvl w:val="0"/>
          <w:numId w:val="3"/>
        </w:numPr>
        <w:spacing w:before="100" w:beforeAutospacing="1" w:after="100" w:afterAutospacing="1"/>
        <w:rPr>
          <w:rFonts w:eastAsia="Times New Roman"/>
        </w:rPr>
      </w:pPr>
      <w:r>
        <w:rPr>
          <w:rFonts w:eastAsia="Times New Roman"/>
        </w:rPr>
        <w:t>Could you clarify if there’s a difference between “during the past measurement year” and “during the measurement year”?</w:t>
      </w:r>
    </w:p>
    <w:p w14:paraId="26243A3C" w14:textId="77777777" w:rsidR="001457F1" w:rsidRDefault="001457F1" w:rsidP="001457F1">
      <w:pPr>
        <w:pStyle w:val="ListParagraph"/>
        <w:spacing w:before="100" w:beforeAutospacing="1" w:after="100" w:afterAutospacing="1"/>
        <w:rPr>
          <w:rFonts w:eastAsia="Times New Roman"/>
          <w:color w:val="0075B9" w:themeColor="accent1"/>
        </w:rPr>
      </w:pPr>
      <w:r>
        <w:rPr>
          <w:rFonts w:eastAsia="Times New Roman"/>
          <w:color w:val="0075B9" w:themeColor="accent1"/>
        </w:rPr>
        <w:lastRenderedPageBreak/>
        <w:t>They are the same thing. For example, for Q2 of 2017, they are both referring to the period of 7/1/2016 to 6/30/2017.</w:t>
      </w:r>
    </w:p>
    <w:p w14:paraId="56DADF98" w14:textId="77777777" w:rsidR="00E924F2" w:rsidRDefault="00E924F2" w:rsidP="00E924F2">
      <w:pPr>
        <w:numPr>
          <w:ilvl w:val="0"/>
          <w:numId w:val="3"/>
        </w:numPr>
        <w:spacing w:before="100" w:beforeAutospacing="1" w:after="100" w:afterAutospacing="1"/>
        <w:rPr>
          <w:rFonts w:eastAsia="Times New Roman"/>
        </w:rPr>
      </w:pPr>
      <w:r>
        <w:rPr>
          <w:rFonts w:eastAsia="Times New Roman"/>
        </w:rPr>
        <w:t>Do we need to report all measures, or can we choose a subset of measures?</w:t>
      </w:r>
    </w:p>
    <w:p w14:paraId="25C0B538" w14:textId="77777777" w:rsidR="00E924F2" w:rsidRDefault="00E924F2" w:rsidP="00E924F2">
      <w:pPr>
        <w:spacing w:before="100" w:beforeAutospacing="1" w:after="100" w:afterAutospacing="1"/>
        <w:ind w:left="720"/>
        <w:rPr>
          <w:rFonts w:eastAsia="Times New Roman"/>
          <w:color w:val="0075B9" w:themeColor="accent1"/>
        </w:rPr>
      </w:pPr>
      <w:r w:rsidRPr="00112126">
        <w:rPr>
          <w:rFonts w:eastAsia="Times New Roman"/>
          <w:color w:val="0075B9" w:themeColor="accent1"/>
        </w:rPr>
        <w:t xml:space="preserve">The grant requirement is to report </w:t>
      </w:r>
      <w:r w:rsidRPr="003D13B2">
        <w:rPr>
          <w:rFonts w:eastAsia="Times New Roman"/>
          <w:color w:val="0075B9" w:themeColor="accent1"/>
          <w:u w:val="single"/>
        </w:rPr>
        <w:t>all</w:t>
      </w:r>
      <w:r w:rsidRPr="00112126">
        <w:rPr>
          <w:rFonts w:eastAsia="Times New Roman"/>
          <w:color w:val="0075B9" w:themeColor="accent1"/>
        </w:rPr>
        <w:t xml:space="preserve"> measures on a quarterly basis.</w:t>
      </w:r>
      <w:r>
        <w:rPr>
          <w:rFonts w:eastAsia="Times New Roman"/>
          <w:color w:val="0075B9" w:themeColor="accent1"/>
        </w:rPr>
        <w:t xml:space="preserve"> We recognize that there may be initial challenges or delays with reporting on some measures.</w:t>
      </w:r>
    </w:p>
    <w:p w14:paraId="6CF4E781" w14:textId="77777777" w:rsidR="00E924F2" w:rsidRDefault="00E924F2" w:rsidP="00E924F2">
      <w:pPr>
        <w:numPr>
          <w:ilvl w:val="0"/>
          <w:numId w:val="3"/>
        </w:numPr>
        <w:spacing w:before="100" w:beforeAutospacing="1" w:after="100" w:afterAutospacing="1"/>
        <w:rPr>
          <w:rFonts w:eastAsia="Times New Roman"/>
        </w:rPr>
      </w:pPr>
      <w:r>
        <w:rPr>
          <w:rFonts w:eastAsia="Times New Roman"/>
        </w:rPr>
        <w:t>We would like to focus our efforts on a subset of the full population. Can we report on that subpopulation for the quarterly reporting?</w:t>
      </w:r>
    </w:p>
    <w:p w14:paraId="0A62289E" w14:textId="77777777" w:rsidR="00E924F2" w:rsidRDefault="00E924F2" w:rsidP="00E924F2">
      <w:pPr>
        <w:spacing w:before="100" w:beforeAutospacing="1" w:after="100" w:afterAutospacing="1"/>
        <w:ind w:left="720"/>
        <w:rPr>
          <w:rFonts w:eastAsia="Times New Roman"/>
          <w:color w:val="0075B9" w:themeColor="accent1"/>
        </w:rPr>
      </w:pPr>
      <w:r w:rsidRPr="00112126">
        <w:rPr>
          <w:rFonts w:eastAsia="Times New Roman"/>
          <w:color w:val="0075B9" w:themeColor="accent1"/>
        </w:rPr>
        <w:t xml:space="preserve">The grant requirement is to report </w:t>
      </w:r>
      <w:r>
        <w:rPr>
          <w:rFonts w:eastAsia="Times New Roman"/>
          <w:color w:val="0075B9" w:themeColor="accent1"/>
        </w:rPr>
        <w:t xml:space="preserve">the measures as they are defined in the reporting template, using the denominators that are explicitly defined. To be consistent across grantees, we are asking grantees to report on the population similarly. For your own improvement efforts, we encourage you to segment the population to align with your areas of focus. </w:t>
      </w:r>
    </w:p>
    <w:p w14:paraId="72BCE679" w14:textId="77777777" w:rsidR="00E924F2" w:rsidRPr="00F8608B" w:rsidRDefault="00E924F2" w:rsidP="00E924F2">
      <w:pPr>
        <w:pStyle w:val="ListParagraph"/>
        <w:numPr>
          <w:ilvl w:val="0"/>
          <w:numId w:val="3"/>
        </w:numPr>
        <w:spacing w:before="100" w:beforeAutospacing="1" w:after="100" w:afterAutospacing="1"/>
        <w:rPr>
          <w:rFonts w:eastAsia="Times New Roman"/>
        </w:rPr>
      </w:pPr>
      <w:r>
        <w:rPr>
          <w:rFonts w:eastAsia="Times New Roman"/>
        </w:rPr>
        <w:t>Will we receive anything after we report the quarterly data?</w:t>
      </w:r>
    </w:p>
    <w:p w14:paraId="627A1018" w14:textId="12A62BB1" w:rsidR="00DB65BC" w:rsidRPr="00DB65BC" w:rsidRDefault="00E924F2" w:rsidP="00DB65BC">
      <w:pPr>
        <w:pStyle w:val="ListParagraph"/>
        <w:rPr>
          <w:rFonts w:eastAsia="Times New Roman"/>
          <w:color w:val="0075B9" w:themeColor="accent1"/>
        </w:rPr>
      </w:pPr>
      <w:r>
        <w:rPr>
          <w:rFonts w:eastAsia="Times New Roman"/>
          <w:color w:val="0075B9" w:themeColor="accent1"/>
        </w:rPr>
        <w:t>Each grantee will receive dashboards of their reported data within one month after data submission. The first dashboards may take longer to produce. The cascading dashboards are at three levels: the initiative, the grantee, and the sub-grantee. The sub-grantees are participating hospital sites of a hospital grantee, participating health center organizations of a consortium grantee, and participating clinic sites of a health center grantee.</w:t>
      </w:r>
    </w:p>
    <w:p w14:paraId="64711D79" w14:textId="519415CF" w:rsidR="00DB65BC" w:rsidRPr="00F8608B" w:rsidRDefault="00DB65BC" w:rsidP="00DB65BC">
      <w:pPr>
        <w:pStyle w:val="ListParagraph"/>
        <w:numPr>
          <w:ilvl w:val="0"/>
          <w:numId w:val="3"/>
        </w:numPr>
        <w:spacing w:before="100" w:beforeAutospacing="1" w:after="100" w:afterAutospacing="1"/>
        <w:rPr>
          <w:rFonts w:eastAsia="Times New Roman"/>
        </w:rPr>
      </w:pPr>
      <w:r>
        <w:rPr>
          <w:rFonts w:eastAsia="Times New Roman"/>
        </w:rPr>
        <w:t>As a hospital, can we report the PRIME measures for the relevant PHASE measures?</w:t>
      </w:r>
    </w:p>
    <w:p w14:paraId="4512270E" w14:textId="05100B35" w:rsidR="00DB65BC" w:rsidRDefault="00DB65BC" w:rsidP="00DB65BC">
      <w:pPr>
        <w:pStyle w:val="ListParagraph"/>
        <w:rPr>
          <w:rFonts w:eastAsia="Times New Roman"/>
          <w:color w:val="0075B9" w:themeColor="accent1"/>
        </w:rPr>
      </w:pPr>
      <w:r>
        <w:rPr>
          <w:rFonts w:eastAsia="Times New Roman"/>
          <w:color w:val="0075B9" w:themeColor="accent1"/>
        </w:rPr>
        <w:t>Yes.</w:t>
      </w:r>
    </w:p>
    <w:p w14:paraId="0989E52B" w14:textId="40075ADA" w:rsidR="00B127E8" w:rsidRPr="00F8608B" w:rsidRDefault="00B127E8" w:rsidP="00B127E8">
      <w:pPr>
        <w:pStyle w:val="ListParagraph"/>
        <w:numPr>
          <w:ilvl w:val="0"/>
          <w:numId w:val="3"/>
        </w:numPr>
        <w:spacing w:before="100" w:beforeAutospacing="1" w:after="100" w:afterAutospacing="1"/>
        <w:rPr>
          <w:rFonts w:eastAsia="Times New Roman"/>
        </w:rPr>
      </w:pPr>
      <w:r w:rsidRPr="00B127E8">
        <w:rPr>
          <w:rFonts w:eastAsia="Times New Roman"/>
          <w:color w:val="FF0000"/>
        </w:rPr>
        <w:t xml:space="preserve">*NEW* </w:t>
      </w:r>
      <w:r>
        <w:rPr>
          <w:rFonts w:eastAsia="Times New Roman"/>
        </w:rPr>
        <w:t>On the dashboards, what is the PHASE grantee average?</w:t>
      </w:r>
    </w:p>
    <w:p w14:paraId="538AA933" w14:textId="381725F7" w:rsidR="00B127E8" w:rsidRPr="00B127E8" w:rsidRDefault="00B127E8" w:rsidP="00B127E8">
      <w:pPr>
        <w:pStyle w:val="ListParagraph"/>
        <w:rPr>
          <w:color w:val="0075B9" w:themeColor="accent1"/>
        </w:rPr>
      </w:pPr>
      <w:r>
        <w:rPr>
          <w:rFonts w:eastAsia="Times New Roman"/>
          <w:color w:val="0075B9" w:themeColor="accent1"/>
        </w:rPr>
        <w:t>It is the average for a given measure for all grantees, regardless of type (health center, hospital, consortium). The average sums the numerator and denominator for the smallest unit available (e.g., health center of a consortium, hospital site) so as to take into account the wide variation in population sizes by grantee.</w:t>
      </w:r>
      <w:bookmarkStart w:id="2" w:name="_GoBack"/>
      <w:bookmarkEnd w:id="2"/>
    </w:p>
    <w:p w14:paraId="3A678866" w14:textId="77777777" w:rsidR="00E924F2" w:rsidRPr="00E924F2" w:rsidRDefault="00E924F2" w:rsidP="00E924F2">
      <w:pPr>
        <w:spacing w:before="100" w:beforeAutospacing="1" w:after="100" w:afterAutospacing="1"/>
        <w:rPr>
          <w:rFonts w:eastAsia="Times New Roman"/>
          <w:b/>
        </w:rPr>
      </w:pPr>
      <w:bookmarkStart w:id="3" w:name="Hypertension"/>
      <w:bookmarkEnd w:id="3"/>
      <w:r w:rsidRPr="00E924F2">
        <w:rPr>
          <w:rFonts w:eastAsia="Times New Roman"/>
          <w:b/>
        </w:rPr>
        <w:t>Hypertension</w:t>
      </w:r>
      <w:r>
        <w:rPr>
          <w:rFonts w:eastAsia="Times New Roman"/>
          <w:b/>
        </w:rPr>
        <w:t xml:space="preserve"> definition</w:t>
      </w:r>
    </w:p>
    <w:p w14:paraId="30E8813B" w14:textId="77777777" w:rsidR="00E924F2" w:rsidRDefault="00E924F2" w:rsidP="00E924F2">
      <w:pPr>
        <w:pStyle w:val="ListParagraph"/>
        <w:numPr>
          <w:ilvl w:val="0"/>
          <w:numId w:val="3"/>
        </w:numPr>
        <w:spacing w:before="100" w:beforeAutospacing="1" w:after="100" w:afterAutospacing="1"/>
        <w:rPr>
          <w:rFonts w:eastAsia="Times New Roman"/>
        </w:rPr>
      </w:pPr>
      <w:r>
        <w:rPr>
          <w:rFonts w:eastAsia="Times New Roman"/>
        </w:rPr>
        <w:t>Is Hypertension just defined using the code of I10?</w:t>
      </w:r>
    </w:p>
    <w:p w14:paraId="62B2758B" w14:textId="77777777" w:rsidR="00E924F2" w:rsidRDefault="00E924F2" w:rsidP="00E924F2">
      <w:pPr>
        <w:pStyle w:val="ListParagraph"/>
        <w:spacing w:before="100" w:beforeAutospacing="1" w:after="100" w:afterAutospacing="1" w:line="276" w:lineRule="auto"/>
        <w:rPr>
          <w:color w:val="0075B9" w:themeColor="accent1"/>
        </w:rPr>
      </w:pPr>
      <w:r w:rsidRPr="002725FD">
        <w:rPr>
          <w:color w:val="0075B9" w:themeColor="accent1"/>
        </w:rPr>
        <w:t>It is only ICD10 – essential hypertension. The 2016 HEDIS Specs, which is what the PHASE measures are based on, has the diagnosis as follows: “Members are identified as hypertensive if there is at least one outpatient visit (Outpatient Without UBREV Value Set) with a diagnosis of hypertension (Essential Hypertension Value Set) during the first six months of the measurement year.” The value set for essential hypertension is only ICD I10.</w:t>
      </w:r>
    </w:p>
    <w:p w14:paraId="73544FC7" w14:textId="00E4DD98" w:rsidR="00E924F2" w:rsidRDefault="00E924F2" w:rsidP="00E924F2">
      <w:pPr>
        <w:numPr>
          <w:ilvl w:val="0"/>
          <w:numId w:val="3"/>
        </w:numPr>
        <w:spacing w:before="100" w:beforeAutospacing="1" w:after="100" w:afterAutospacing="1"/>
        <w:rPr>
          <w:rFonts w:eastAsia="Times New Roman"/>
        </w:rPr>
      </w:pPr>
      <w:r>
        <w:rPr>
          <w:rFonts w:eastAsia="Times New Roman"/>
        </w:rPr>
        <w:lastRenderedPageBreak/>
        <w:t>Who is included in the HTN patient definition of “patients with an outpatient diagnosis of hypertension during the first 6 months of the measurement year</w:t>
      </w:r>
      <w:r w:rsidR="00623496">
        <w:rPr>
          <w:rFonts w:eastAsia="Times New Roman"/>
        </w:rPr>
        <w:t xml:space="preserve"> or prior</w:t>
      </w:r>
      <w:r>
        <w:rPr>
          <w:rFonts w:eastAsia="Times New Roman"/>
        </w:rPr>
        <w:t>?</w:t>
      </w:r>
    </w:p>
    <w:p w14:paraId="04856FEB" w14:textId="1271A15F" w:rsidR="00E924F2" w:rsidRPr="00E924F2" w:rsidRDefault="00E924F2" w:rsidP="00E924F2">
      <w:pPr>
        <w:spacing w:before="100" w:beforeAutospacing="1" w:after="100" w:afterAutospacing="1"/>
        <w:ind w:left="720"/>
        <w:rPr>
          <w:color w:val="0075B9" w:themeColor="accent1"/>
        </w:rPr>
      </w:pPr>
      <w:r>
        <w:rPr>
          <w:color w:val="0075B9" w:themeColor="accent1"/>
        </w:rPr>
        <w:t xml:space="preserve">It includes patients with a diagnosis of HTN who received that diagnosis </w:t>
      </w:r>
      <w:r w:rsidRPr="006B0FFB">
        <w:rPr>
          <w:i/>
          <w:color w:val="0075B9" w:themeColor="accent1"/>
        </w:rPr>
        <w:t xml:space="preserve">at any </w:t>
      </w:r>
      <w:r w:rsidRPr="00CD6A17">
        <w:rPr>
          <w:i/>
          <w:color w:val="0075B9" w:themeColor="accent1"/>
        </w:rPr>
        <w:t xml:space="preserve">point </w:t>
      </w:r>
      <w:r w:rsidRPr="00734987">
        <w:rPr>
          <w:i/>
          <w:color w:val="0075B9" w:themeColor="accent1"/>
        </w:rPr>
        <w:t xml:space="preserve">prior to 6 months to the end of the measurement year. </w:t>
      </w:r>
      <w:r>
        <w:rPr>
          <w:color w:val="0075B9" w:themeColor="accent1"/>
        </w:rPr>
        <w:t>For example, for Q</w:t>
      </w:r>
      <w:r w:rsidR="00623496">
        <w:rPr>
          <w:color w:val="0075B9" w:themeColor="accent1"/>
        </w:rPr>
        <w:t>4</w:t>
      </w:r>
      <w:r>
        <w:rPr>
          <w:color w:val="0075B9" w:themeColor="accent1"/>
        </w:rPr>
        <w:t xml:space="preserve"> 201</w:t>
      </w:r>
      <w:r w:rsidR="00623496">
        <w:rPr>
          <w:color w:val="0075B9" w:themeColor="accent1"/>
        </w:rPr>
        <w:t>8</w:t>
      </w:r>
      <w:r>
        <w:rPr>
          <w:color w:val="0075B9" w:themeColor="accent1"/>
        </w:rPr>
        <w:t xml:space="preserve"> (with the measurement year of </w:t>
      </w:r>
      <w:r w:rsidR="00623496">
        <w:rPr>
          <w:color w:val="0075B9" w:themeColor="accent1"/>
        </w:rPr>
        <w:t>1</w:t>
      </w:r>
      <w:r>
        <w:rPr>
          <w:color w:val="0075B9" w:themeColor="accent1"/>
        </w:rPr>
        <w:t>/1/201</w:t>
      </w:r>
      <w:r w:rsidR="00623496">
        <w:rPr>
          <w:color w:val="0075B9" w:themeColor="accent1"/>
        </w:rPr>
        <w:t>8</w:t>
      </w:r>
      <w:r>
        <w:rPr>
          <w:color w:val="0075B9" w:themeColor="accent1"/>
        </w:rPr>
        <w:t xml:space="preserve"> to </w:t>
      </w:r>
      <w:r w:rsidR="00623496">
        <w:rPr>
          <w:color w:val="0075B9" w:themeColor="accent1"/>
        </w:rPr>
        <w:t>12</w:t>
      </w:r>
      <w:r>
        <w:rPr>
          <w:color w:val="0075B9" w:themeColor="accent1"/>
        </w:rPr>
        <w:t>/3</w:t>
      </w:r>
      <w:r w:rsidR="00623496">
        <w:rPr>
          <w:color w:val="0075B9" w:themeColor="accent1"/>
        </w:rPr>
        <w:t>1</w:t>
      </w:r>
      <w:r>
        <w:rPr>
          <w:color w:val="0075B9" w:themeColor="accent1"/>
        </w:rPr>
        <w:t>/201</w:t>
      </w:r>
      <w:r w:rsidR="00623496">
        <w:rPr>
          <w:color w:val="0075B9" w:themeColor="accent1"/>
        </w:rPr>
        <w:t>8</w:t>
      </w:r>
      <w:r>
        <w:rPr>
          <w:color w:val="0075B9" w:themeColor="accent1"/>
        </w:rPr>
        <w:t xml:space="preserve">), it would include patients who had a diagnosis of hypertension </w:t>
      </w:r>
      <w:r>
        <w:rPr>
          <w:i/>
          <w:color w:val="0075B9" w:themeColor="accent1"/>
        </w:rPr>
        <w:t xml:space="preserve">at any point </w:t>
      </w:r>
      <w:r w:rsidR="00623496">
        <w:rPr>
          <w:color w:val="0075B9" w:themeColor="accent1"/>
        </w:rPr>
        <w:t>prior to 6</w:t>
      </w:r>
      <w:r>
        <w:rPr>
          <w:color w:val="0075B9" w:themeColor="accent1"/>
        </w:rPr>
        <w:t>/3</w:t>
      </w:r>
      <w:r w:rsidR="00623496">
        <w:rPr>
          <w:color w:val="0075B9" w:themeColor="accent1"/>
        </w:rPr>
        <w:t>0</w:t>
      </w:r>
      <w:r>
        <w:rPr>
          <w:color w:val="0075B9" w:themeColor="accent1"/>
        </w:rPr>
        <w:t>/201</w:t>
      </w:r>
      <w:r w:rsidR="00623496">
        <w:rPr>
          <w:color w:val="0075B9" w:themeColor="accent1"/>
        </w:rPr>
        <w:t>8</w:t>
      </w:r>
      <w:r>
        <w:rPr>
          <w:color w:val="0075B9" w:themeColor="accent1"/>
        </w:rPr>
        <w:t xml:space="preserve">. </w:t>
      </w:r>
    </w:p>
    <w:p w14:paraId="0E235022" w14:textId="77777777" w:rsidR="00E924F2" w:rsidRPr="00E924F2" w:rsidRDefault="00E924F2" w:rsidP="00E924F2">
      <w:pPr>
        <w:spacing w:before="100" w:beforeAutospacing="1" w:after="100" w:afterAutospacing="1"/>
        <w:rPr>
          <w:rFonts w:eastAsia="Times New Roman"/>
          <w:b/>
        </w:rPr>
      </w:pPr>
      <w:bookmarkStart w:id="4" w:name="ASCVD"/>
      <w:bookmarkEnd w:id="4"/>
      <w:r w:rsidRPr="00E924F2">
        <w:rPr>
          <w:rFonts w:eastAsia="Times New Roman"/>
          <w:b/>
        </w:rPr>
        <w:t>ASCVD definition</w:t>
      </w:r>
      <w:r>
        <w:rPr>
          <w:rFonts w:eastAsia="Times New Roman"/>
          <w:b/>
        </w:rPr>
        <w:t xml:space="preserve"> </w:t>
      </w:r>
    </w:p>
    <w:p w14:paraId="7BC5DFF2" w14:textId="77777777" w:rsidR="00821C71" w:rsidRPr="00821C71" w:rsidRDefault="00821C71" w:rsidP="00E924F2">
      <w:pPr>
        <w:numPr>
          <w:ilvl w:val="0"/>
          <w:numId w:val="3"/>
        </w:numPr>
        <w:spacing w:before="100" w:beforeAutospacing="1" w:after="100" w:afterAutospacing="1"/>
        <w:rPr>
          <w:rFonts w:eastAsia="Times New Roman"/>
        </w:rPr>
      </w:pPr>
      <w:r>
        <w:t xml:space="preserve">For the ASCVD patients, should we be looking at all active patients or patients with a diagnosis from the list in the last year?  </w:t>
      </w:r>
      <w:r w:rsidR="0095064A">
        <w:t>This question stems from the fact that</w:t>
      </w:r>
      <w:r>
        <w:t xml:space="preserve"> there is a time frame for the DM patient measure (2 outpatient visits in the measurement year</w:t>
      </w:r>
      <w:r w:rsidR="00141E97">
        <w:t>)</w:t>
      </w:r>
      <w:r>
        <w:t xml:space="preserve"> and for the HTN patient measure (HTN diagnosis in the first 6 months of measurement year), but </w:t>
      </w:r>
      <w:r w:rsidRPr="0095064A">
        <w:rPr>
          <w:i/>
        </w:rPr>
        <w:t>no</w:t>
      </w:r>
      <w:r>
        <w:t xml:space="preserve"> specification </w:t>
      </w:r>
      <w:r w:rsidR="0095064A">
        <w:t xml:space="preserve">of a visit rule </w:t>
      </w:r>
      <w:r>
        <w:t>for ASCVD.  Can you please clarify?</w:t>
      </w:r>
    </w:p>
    <w:p w14:paraId="712D3E92" w14:textId="77777777" w:rsidR="00821C71" w:rsidRDefault="0095064A" w:rsidP="00821C71">
      <w:pPr>
        <w:spacing w:before="100" w:beforeAutospacing="1" w:after="100" w:afterAutospacing="1"/>
        <w:ind w:left="720"/>
        <w:rPr>
          <w:color w:val="0075B9" w:themeColor="accent1"/>
        </w:rPr>
      </w:pPr>
      <w:r>
        <w:rPr>
          <w:color w:val="0075B9" w:themeColor="accent1"/>
        </w:rPr>
        <w:t>The ASCVD population measure is for</w:t>
      </w:r>
      <w:r w:rsidR="00821C71" w:rsidRPr="00821C71">
        <w:rPr>
          <w:color w:val="0075B9" w:themeColor="accent1"/>
        </w:rPr>
        <w:t xml:space="preserve"> all active patients, </w:t>
      </w:r>
      <w:r>
        <w:rPr>
          <w:color w:val="0075B9" w:themeColor="accent1"/>
        </w:rPr>
        <w:t>in whatever way</w:t>
      </w:r>
      <w:r w:rsidR="00821C71" w:rsidRPr="00821C71">
        <w:rPr>
          <w:color w:val="0075B9" w:themeColor="accent1"/>
        </w:rPr>
        <w:t xml:space="preserve"> the</w:t>
      </w:r>
      <w:r w:rsidR="00BA1018">
        <w:rPr>
          <w:color w:val="0075B9" w:themeColor="accent1"/>
        </w:rPr>
        <w:t xml:space="preserve"> clinics</w:t>
      </w:r>
      <w:r w:rsidR="00821C71" w:rsidRPr="00821C71">
        <w:rPr>
          <w:color w:val="0075B9" w:themeColor="accent1"/>
        </w:rPr>
        <w:t xml:space="preserve"> define “active.” Because the DM and HTN measures are linked to HEDIS, there are specific definitions for what “active” means, which isn’t the case for ASCV</w:t>
      </w:r>
      <w:r w:rsidR="00821C71">
        <w:rPr>
          <w:color w:val="0075B9" w:themeColor="accent1"/>
        </w:rPr>
        <w:t>D.</w:t>
      </w:r>
      <w:r w:rsidR="00BA1018" w:rsidRPr="00BA1018">
        <w:t xml:space="preserve"> </w:t>
      </w:r>
      <w:r w:rsidR="00BA1018" w:rsidRPr="00BA1018">
        <w:rPr>
          <w:color w:val="0075B9" w:themeColor="accent1"/>
        </w:rPr>
        <w:t>The ASCVD population measure does not roll up into a</w:t>
      </w:r>
      <w:r w:rsidR="00BA1018">
        <w:rPr>
          <w:color w:val="0075B9" w:themeColor="accent1"/>
        </w:rPr>
        <w:t>ny of the other denominators;</w:t>
      </w:r>
      <w:r w:rsidR="00BA1018" w:rsidRPr="00BA1018">
        <w:rPr>
          <w:color w:val="0075B9" w:themeColor="accent1"/>
        </w:rPr>
        <w:t xml:space="preserve"> in terms of being “accountable” for patients who may no longer be at your clinic, there are no consequences to the lack of a visit rule. However, if the added nuance of a visit rule is more actionable for you, feel free to add one that works within your operationalized definition of an active patient.</w:t>
      </w:r>
    </w:p>
    <w:p w14:paraId="6FC66A63" w14:textId="77777777" w:rsidR="00E924F2" w:rsidRPr="00E924F2" w:rsidRDefault="00E924F2" w:rsidP="00E924F2">
      <w:pPr>
        <w:spacing w:before="100" w:beforeAutospacing="1" w:after="100" w:afterAutospacing="1"/>
        <w:rPr>
          <w:rFonts w:eastAsia="Times New Roman"/>
          <w:b/>
        </w:rPr>
      </w:pPr>
      <w:bookmarkStart w:id="5" w:name="UnduplicatedPts"/>
      <w:bookmarkEnd w:id="5"/>
      <w:r w:rsidRPr="00E924F2">
        <w:rPr>
          <w:b/>
        </w:rPr>
        <w:t>Unduplicated patients</w:t>
      </w:r>
      <w:r w:rsidR="00722C6A">
        <w:rPr>
          <w:b/>
        </w:rPr>
        <w:t xml:space="preserve"> definition</w:t>
      </w:r>
    </w:p>
    <w:p w14:paraId="29EC41D7" w14:textId="77777777" w:rsidR="001C0150" w:rsidRDefault="001C0150" w:rsidP="00E924F2">
      <w:pPr>
        <w:numPr>
          <w:ilvl w:val="0"/>
          <w:numId w:val="3"/>
        </w:numPr>
        <w:spacing w:before="100" w:beforeAutospacing="1" w:after="100" w:afterAutospacing="1"/>
        <w:rPr>
          <w:rFonts w:eastAsia="Times New Roman"/>
        </w:rPr>
      </w:pPr>
      <w:r>
        <w:rPr>
          <w:rFonts w:eastAsia="Times New Roman"/>
        </w:rPr>
        <w:t>How do you define unduplicated total patients?</w:t>
      </w:r>
    </w:p>
    <w:p w14:paraId="67A6A1E8" w14:textId="77777777" w:rsidR="001C0150" w:rsidRDefault="001C0150" w:rsidP="001C0150">
      <w:pPr>
        <w:spacing w:before="100" w:beforeAutospacing="1" w:after="100" w:afterAutospacing="1"/>
        <w:ind w:left="720"/>
        <w:rPr>
          <w:color w:val="0075B9" w:themeColor="accent1"/>
        </w:rPr>
      </w:pPr>
      <w:r>
        <w:rPr>
          <w:color w:val="0075B9" w:themeColor="accent1"/>
        </w:rPr>
        <w:t>It is the number of unique patients with ASCVD, diabetes, and/or HTN. It is not the sum of the three diagnostic categories because some individuals will have diagnoses of more than one of these conditions.</w:t>
      </w:r>
    </w:p>
    <w:p w14:paraId="20560236" w14:textId="64EC9D1A" w:rsidR="00B561F2" w:rsidRDefault="00B561F2" w:rsidP="00B561F2">
      <w:pPr>
        <w:spacing w:before="100" w:beforeAutospacing="1" w:after="100" w:afterAutospacing="1"/>
        <w:rPr>
          <w:rFonts w:eastAsia="Times New Roman"/>
          <w:b/>
        </w:rPr>
      </w:pPr>
      <w:bookmarkStart w:id="6" w:name="BloodPressure"/>
      <w:bookmarkStart w:id="7" w:name="HEDISpercentiles"/>
      <w:bookmarkEnd w:id="6"/>
      <w:bookmarkEnd w:id="7"/>
      <w:r>
        <w:rPr>
          <w:rFonts w:eastAsia="Times New Roman"/>
          <w:b/>
        </w:rPr>
        <w:t>HEDIS percentiles</w:t>
      </w:r>
    </w:p>
    <w:p w14:paraId="11823830" w14:textId="39B06CDC" w:rsidR="00B561F2" w:rsidRDefault="00B127E8" w:rsidP="00B561F2">
      <w:pPr>
        <w:numPr>
          <w:ilvl w:val="0"/>
          <w:numId w:val="3"/>
        </w:numPr>
        <w:spacing w:before="100" w:beforeAutospacing="1" w:after="100" w:afterAutospacing="1"/>
        <w:rPr>
          <w:rFonts w:eastAsia="Times New Roman"/>
        </w:rPr>
      </w:pPr>
      <w:r w:rsidRPr="007B0C8B">
        <w:rPr>
          <w:rFonts w:eastAsia="Times New Roman"/>
          <w:color w:val="FF0000"/>
        </w:rPr>
        <w:t>*NEW*</w:t>
      </w:r>
      <w:r>
        <w:rPr>
          <w:rFonts w:eastAsia="Times New Roman"/>
          <w:color w:val="FF0000"/>
        </w:rPr>
        <w:t xml:space="preserve"> </w:t>
      </w:r>
      <w:r w:rsidR="00B561F2">
        <w:rPr>
          <w:rFonts w:eastAsia="Times New Roman"/>
        </w:rPr>
        <w:t>What do the HEDIS 75</w:t>
      </w:r>
      <w:r w:rsidR="00B561F2" w:rsidRPr="00B561F2">
        <w:rPr>
          <w:rFonts w:eastAsia="Times New Roman"/>
          <w:vertAlign w:val="superscript"/>
        </w:rPr>
        <w:t>th</w:t>
      </w:r>
      <w:r w:rsidR="00B561F2">
        <w:rPr>
          <w:rFonts w:eastAsia="Times New Roman"/>
        </w:rPr>
        <w:t xml:space="preserve"> and 90</w:t>
      </w:r>
      <w:r w:rsidR="00B561F2" w:rsidRPr="00B561F2">
        <w:rPr>
          <w:rFonts w:eastAsia="Times New Roman"/>
          <w:vertAlign w:val="superscript"/>
        </w:rPr>
        <w:t>th</w:t>
      </w:r>
      <w:r w:rsidR="00B561F2">
        <w:rPr>
          <w:rFonts w:eastAsia="Times New Roman"/>
        </w:rPr>
        <w:t xml:space="preserve"> percentiles represent?</w:t>
      </w:r>
    </w:p>
    <w:p w14:paraId="71B44C17" w14:textId="6F29ABAD" w:rsidR="00B561F2" w:rsidRDefault="00B561F2" w:rsidP="00B561F2">
      <w:pPr>
        <w:spacing w:before="100" w:beforeAutospacing="1" w:after="100" w:afterAutospacing="1"/>
        <w:ind w:left="720"/>
        <w:rPr>
          <w:color w:val="0075B9" w:themeColor="accent1"/>
        </w:rPr>
      </w:pPr>
      <w:r w:rsidRPr="00B561F2">
        <w:rPr>
          <w:color w:val="0075B9" w:themeColor="accent1"/>
        </w:rPr>
        <w:t>HEDIS percentiles are calculated by NCQA each year based on the broad categories of health plans (e.g., commercial, Medicaid, Medicare, etc.). Though we realize you submit data for all patients at participating sites, regardless of their insurance coverage, PHASE benchmarks with NCQA’s Medicaid numbers because that population most closely resembles patients served by PHASE grantees.</w:t>
      </w:r>
    </w:p>
    <w:p w14:paraId="0657FF25" w14:textId="579714D2" w:rsidR="00B561F2" w:rsidRDefault="00B561F2" w:rsidP="00B561F2">
      <w:pPr>
        <w:spacing w:before="100" w:beforeAutospacing="1" w:after="100" w:afterAutospacing="1"/>
        <w:ind w:left="720"/>
        <w:rPr>
          <w:color w:val="0075B9" w:themeColor="accent1"/>
        </w:rPr>
      </w:pPr>
      <w:r>
        <w:rPr>
          <w:color w:val="0075B9" w:themeColor="accent1"/>
        </w:rPr>
        <w:lastRenderedPageBreak/>
        <w:t>The 75</w:t>
      </w:r>
      <w:r w:rsidRPr="00B561F2">
        <w:rPr>
          <w:color w:val="0075B9" w:themeColor="accent1"/>
          <w:vertAlign w:val="superscript"/>
        </w:rPr>
        <w:t>th</w:t>
      </w:r>
      <w:r>
        <w:rPr>
          <w:color w:val="0075B9" w:themeColor="accent1"/>
        </w:rPr>
        <w:t xml:space="preserve"> percentile means that 75% of organizations submitting data are below that value. The 90</w:t>
      </w:r>
      <w:r w:rsidRPr="00B561F2">
        <w:rPr>
          <w:color w:val="0075B9" w:themeColor="accent1"/>
          <w:vertAlign w:val="superscript"/>
        </w:rPr>
        <w:t>th</w:t>
      </w:r>
      <w:r>
        <w:rPr>
          <w:color w:val="0075B9" w:themeColor="accent1"/>
        </w:rPr>
        <w:t xml:space="preserve"> percentile means that 90% of organizations submitting data are below that value.</w:t>
      </w:r>
    </w:p>
    <w:p w14:paraId="7E9E2216" w14:textId="7F5CA5EA" w:rsidR="00E924F2" w:rsidRPr="00E924F2" w:rsidRDefault="00E924F2" w:rsidP="00E924F2">
      <w:pPr>
        <w:spacing w:before="100" w:beforeAutospacing="1" w:after="100" w:afterAutospacing="1"/>
        <w:rPr>
          <w:rFonts w:eastAsia="Times New Roman"/>
          <w:b/>
        </w:rPr>
      </w:pPr>
      <w:r w:rsidRPr="00E924F2">
        <w:rPr>
          <w:rFonts w:eastAsia="Times New Roman"/>
          <w:b/>
        </w:rPr>
        <w:t>Blood pressure</w:t>
      </w:r>
    </w:p>
    <w:p w14:paraId="138E99E9" w14:textId="77777777" w:rsidR="00E924F2" w:rsidRDefault="00E924F2" w:rsidP="00B561F2">
      <w:pPr>
        <w:numPr>
          <w:ilvl w:val="0"/>
          <w:numId w:val="3"/>
        </w:numPr>
        <w:spacing w:before="100" w:beforeAutospacing="1" w:after="100" w:afterAutospacing="1"/>
        <w:rPr>
          <w:rFonts w:eastAsia="Times New Roman"/>
        </w:rPr>
      </w:pPr>
      <w:r>
        <w:rPr>
          <w:rFonts w:eastAsia="Times New Roman"/>
        </w:rPr>
        <w:t>Does a patient have to have systolic blood pressure less than the threshold AND diastolic less than the threshold to be considered “in control”? Or is it an “or”?</w:t>
      </w:r>
    </w:p>
    <w:p w14:paraId="60B3331E" w14:textId="77777777" w:rsidR="00E924F2" w:rsidRPr="001457F1" w:rsidRDefault="00E924F2" w:rsidP="00E924F2">
      <w:pPr>
        <w:spacing w:before="100" w:beforeAutospacing="1" w:after="100" w:afterAutospacing="1"/>
        <w:ind w:left="720"/>
        <w:rPr>
          <w:color w:val="0075B9" w:themeColor="accent1"/>
        </w:rPr>
      </w:pPr>
      <w:r w:rsidRPr="001457F1">
        <w:rPr>
          <w:color w:val="0075B9" w:themeColor="accent1"/>
        </w:rPr>
        <w:t>For patients aged 18-59 and patients aged 60-85 with</w:t>
      </w:r>
      <w:r>
        <w:rPr>
          <w:color w:val="0075B9" w:themeColor="accent1"/>
        </w:rPr>
        <w:t xml:space="preserve"> a diagnosis of</w:t>
      </w:r>
      <w:r w:rsidRPr="001457F1">
        <w:rPr>
          <w:color w:val="0075B9" w:themeColor="accent1"/>
        </w:rPr>
        <w:t xml:space="preserve"> diabetes: a) systolic needs to be under 140 </w:t>
      </w:r>
      <w:r w:rsidRPr="001457F1">
        <w:rPr>
          <w:b/>
          <w:i/>
          <w:color w:val="0075B9" w:themeColor="accent1"/>
        </w:rPr>
        <w:t>and</w:t>
      </w:r>
      <w:r w:rsidRPr="001457F1">
        <w:rPr>
          <w:color w:val="0075B9" w:themeColor="accent1"/>
        </w:rPr>
        <w:t xml:space="preserve"> b) diastolic needs to be under 90.</w:t>
      </w:r>
    </w:p>
    <w:p w14:paraId="55BCFDEF" w14:textId="77777777" w:rsidR="00E924F2" w:rsidRDefault="00E924F2" w:rsidP="00E924F2">
      <w:pPr>
        <w:spacing w:before="100" w:beforeAutospacing="1" w:after="100" w:afterAutospacing="1"/>
        <w:ind w:left="720"/>
        <w:rPr>
          <w:color w:val="0075B9" w:themeColor="accent1"/>
        </w:rPr>
      </w:pPr>
      <w:r w:rsidRPr="001457F1">
        <w:rPr>
          <w:color w:val="0075B9" w:themeColor="accent1"/>
        </w:rPr>
        <w:t xml:space="preserve">For patients aged 60-85 without </w:t>
      </w:r>
      <w:r>
        <w:rPr>
          <w:color w:val="0075B9" w:themeColor="accent1"/>
        </w:rPr>
        <w:t xml:space="preserve">a diagnosis of </w:t>
      </w:r>
      <w:r w:rsidRPr="001457F1">
        <w:rPr>
          <w:color w:val="0075B9" w:themeColor="accent1"/>
        </w:rPr>
        <w:t xml:space="preserve">diabetes: a) systolic needs to be under 150 </w:t>
      </w:r>
      <w:r w:rsidRPr="001457F1">
        <w:rPr>
          <w:b/>
          <w:i/>
          <w:color w:val="0075B9" w:themeColor="accent1"/>
        </w:rPr>
        <w:t>and</w:t>
      </w:r>
      <w:r w:rsidRPr="001457F1">
        <w:rPr>
          <w:color w:val="0075B9" w:themeColor="accent1"/>
        </w:rPr>
        <w:t xml:space="preserve"> b) diastolic needs to be under 90.</w:t>
      </w:r>
    </w:p>
    <w:p w14:paraId="4E669337" w14:textId="77777777" w:rsidR="008F47F0" w:rsidRDefault="008F47F0" w:rsidP="00B561F2">
      <w:pPr>
        <w:numPr>
          <w:ilvl w:val="0"/>
          <w:numId w:val="3"/>
        </w:numPr>
        <w:spacing w:before="100" w:beforeAutospacing="1" w:after="100" w:afterAutospacing="1"/>
        <w:rPr>
          <w:rFonts w:eastAsia="Times New Roman"/>
        </w:rPr>
      </w:pPr>
      <w:r>
        <w:rPr>
          <w:rFonts w:eastAsia="Times New Roman"/>
        </w:rPr>
        <w:t>How does HEDIS specify how to record multiple blood pressure measurements in the same visit?</w:t>
      </w:r>
    </w:p>
    <w:p w14:paraId="502A7334" w14:textId="77777777" w:rsidR="008F47F0" w:rsidRDefault="008F47F0" w:rsidP="008F47F0">
      <w:pPr>
        <w:spacing w:before="100" w:beforeAutospacing="1" w:after="100" w:afterAutospacing="1"/>
        <w:ind w:left="720"/>
        <w:rPr>
          <w:color w:val="0075B9" w:themeColor="accent1"/>
        </w:rPr>
      </w:pPr>
      <w:r w:rsidRPr="008F47F0">
        <w:rPr>
          <w:color w:val="0075B9" w:themeColor="accent1"/>
        </w:rPr>
        <w:t>If multiple BP measurements occur on the same date, or are noted in the chart on the same date, use the lowest systolic and lowest diastolic BP reading.</w:t>
      </w:r>
    </w:p>
    <w:p w14:paraId="07928403" w14:textId="77777777" w:rsidR="00E924F2" w:rsidRPr="00E924F2" w:rsidRDefault="00E924F2" w:rsidP="00E924F2">
      <w:pPr>
        <w:spacing w:before="100" w:beforeAutospacing="1" w:after="100" w:afterAutospacing="1"/>
        <w:rPr>
          <w:b/>
        </w:rPr>
      </w:pPr>
      <w:bookmarkStart w:id="8" w:name="DiabetesA1c"/>
      <w:bookmarkEnd w:id="8"/>
      <w:r w:rsidRPr="00E924F2">
        <w:rPr>
          <w:b/>
        </w:rPr>
        <w:t>Diabetes A1c</w:t>
      </w:r>
    </w:p>
    <w:p w14:paraId="1ADF0CB5" w14:textId="77777777" w:rsidR="00E924F2" w:rsidRDefault="00E924F2" w:rsidP="00B561F2">
      <w:pPr>
        <w:numPr>
          <w:ilvl w:val="0"/>
          <w:numId w:val="3"/>
        </w:numPr>
        <w:spacing w:before="100" w:beforeAutospacing="1" w:after="100" w:afterAutospacing="1"/>
        <w:rPr>
          <w:rFonts w:eastAsia="Times New Roman"/>
        </w:rPr>
      </w:pPr>
      <w:r>
        <w:rPr>
          <w:rFonts w:eastAsia="Times New Roman"/>
        </w:rPr>
        <w:t>The diabetes control measure is the inverse of the HEDIS measure. Can we report the HEDIS measure, which is for poor control (&gt;9% or missing), instead?</w:t>
      </w:r>
    </w:p>
    <w:p w14:paraId="79F73645" w14:textId="77777777" w:rsidR="00E924F2" w:rsidRPr="001457F1" w:rsidRDefault="00E924F2" w:rsidP="00E924F2">
      <w:pPr>
        <w:spacing w:before="100" w:beforeAutospacing="1" w:after="100" w:afterAutospacing="1"/>
        <w:ind w:left="720"/>
        <w:rPr>
          <w:rFonts w:eastAsia="Times New Roman"/>
          <w:color w:val="0075B9" w:themeColor="accent1"/>
        </w:rPr>
      </w:pPr>
      <w:r>
        <w:rPr>
          <w:color w:val="0075B9" w:themeColor="accent1"/>
        </w:rPr>
        <w:t>Yes. If it is more actionable for you to report out of control A1c or it aligns better with your other reporting requirements, you may report out of control A1c. However, be sure to let Carly Levitz know that you are reporting the measure as out of control.</w:t>
      </w:r>
    </w:p>
    <w:p w14:paraId="1BE9EFF4" w14:textId="77777777" w:rsidR="00E924F2" w:rsidRPr="00E924F2" w:rsidRDefault="00E924F2" w:rsidP="00E924F2">
      <w:pPr>
        <w:spacing w:before="100" w:beforeAutospacing="1" w:after="100" w:afterAutospacing="1"/>
        <w:rPr>
          <w:b/>
        </w:rPr>
      </w:pPr>
      <w:bookmarkStart w:id="9" w:name="FollowUpDefinitions"/>
      <w:bookmarkEnd w:id="9"/>
      <w:r w:rsidRPr="00E924F2">
        <w:rPr>
          <w:b/>
        </w:rPr>
        <w:t>Follow-up definitions</w:t>
      </w:r>
    </w:p>
    <w:p w14:paraId="78A712EB" w14:textId="77777777" w:rsidR="006B0FFB" w:rsidRDefault="006B0FFB" w:rsidP="00B561F2">
      <w:pPr>
        <w:numPr>
          <w:ilvl w:val="0"/>
          <w:numId w:val="3"/>
        </w:numPr>
        <w:spacing w:before="100" w:beforeAutospacing="1" w:after="100" w:afterAutospacing="1"/>
        <w:rPr>
          <w:rFonts w:eastAsia="Times New Roman"/>
        </w:rPr>
      </w:pPr>
      <w:r>
        <w:rPr>
          <w:rFonts w:eastAsia="Times New Roman"/>
        </w:rPr>
        <w:t>What is the PHASE definition of follow-up for the tobacco, BMI, and depression screening &amp; follow-up measures?</w:t>
      </w:r>
    </w:p>
    <w:p w14:paraId="3C8DB2D0" w14:textId="77777777" w:rsidR="006B0FFB" w:rsidRDefault="006B0FFB" w:rsidP="001C0150">
      <w:pPr>
        <w:spacing w:before="100" w:beforeAutospacing="1" w:after="100" w:afterAutospacing="1"/>
        <w:ind w:left="720"/>
        <w:rPr>
          <w:color w:val="0075B9" w:themeColor="accent1"/>
        </w:rPr>
      </w:pPr>
      <w:r>
        <w:rPr>
          <w:color w:val="0075B9" w:themeColor="accent1"/>
        </w:rPr>
        <w:t>There is no PHASE-specific definition for follow-up for these measures. It is more important that the definition is operational within your system. Please review the PHASE Clinical and Quality Measures Reporting Template for examples of what you could use as follow-up.</w:t>
      </w:r>
      <w:r w:rsidR="0095064A">
        <w:rPr>
          <w:color w:val="0075B9" w:themeColor="accent1"/>
        </w:rPr>
        <w:t xml:space="preserve"> As a reminder, regardless of how you define follow-up, you are required to report on the combined measure of both screening and follow-up.</w:t>
      </w:r>
    </w:p>
    <w:p w14:paraId="2311AFB4" w14:textId="77777777" w:rsidR="00E924F2" w:rsidRPr="004A0028" w:rsidRDefault="00E924F2" w:rsidP="00E924F2">
      <w:pPr>
        <w:spacing w:before="100" w:beforeAutospacing="1" w:after="100" w:afterAutospacing="1"/>
        <w:rPr>
          <w:rFonts w:eastAsia="Times New Roman"/>
          <w:b/>
        </w:rPr>
      </w:pPr>
      <w:bookmarkStart w:id="10" w:name="BMI"/>
      <w:bookmarkEnd w:id="10"/>
      <w:r>
        <w:rPr>
          <w:rFonts w:eastAsia="Times New Roman"/>
          <w:b/>
        </w:rPr>
        <w:t>BMI</w:t>
      </w:r>
    </w:p>
    <w:p w14:paraId="788E5392" w14:textId="77777777" w:rsidR="00E924F2" w:rsidRDefault="00E924F2" w:rsidP="00B561F2">
      <w:pPr>
        <w:numPr>
          <w:ilvl w:val="0"/>
          <w:numId w:val="3"/>
        </w:numPr>
        <w:spacing w:after="160" w:line="252" w:lineRule="auto"/>
        <w:rPr>
          <w:rFonts w:eastAsia="Times New Roman"/>
        </w:rPr>
      </w:pPr>
      <w:r>
        <w:rPr>
          <w:rFonts w:eastAsia="Times New Roman"/>
        </w:rPr>
        <w:t xml:space="preserve">If a patient is only seen in the first 6 months of a reporting year, had their BMI measured during that visit, and has not had another visit in the final 6 months of the reporting year, and they </w:t>
      </w:r>
      <w:r>
        <w:rPr>
          <w:rFonts w:eastAsia="Times New Roman"/>
        </w:rPr>
        <w:lastRenderedPageBreak/>
        <w:t>otherwise meet the criteria for inclusion in the numerator, should they be included in the numerator?</w:t>
      </w:r>
    </w:p>
    <w:p w14:paraId="0728F750" w14:textId="4FD22B87" w:rsidR="00E924F2" w:rsidRDefault="00E924F2" w:rsidP="00E924F2">
      <w:pPr>
        <w:spacing w:before="240" w:after="160"/>
        <w:ind w:left="720"/>
        <w:rPr>
          <w:color w:val="0075B9" w:themeColor="accent1"/>
        </w:rPr>
      </w:pPr>
      <w:r w:rsidRPr="002725FD">
        <w:rPr>
          <w:color w:val="0075B9" w:themeColor="accent1"/>
        </w:rPr>
        <w:t xml:space="preserve">The UDS reporting instructions for 2016, which is what the PHASE measures are based on, has the numerator defined as follows (underlining was done by me): “Patients with a documented BMI (not just height and weight) during </w:t>
      </w:r>
      <w:r w:rsidRPr="002725FD">
        <w:rPr>
          <w:color w:val="0075B9" w:themeColor="accent1"/>
          <w:u w:val="single"/>
        </w:rPr>
        <w:t>their most recent visit or during the previous six months of the most recent visit</w:t>
      </w:r>
      <w:r w:rsidRPr="002725FD">
        <w:rPr>
          <w:color w:val="0075B9" w:themeColor="accent1"/>
        </w:rPr>
        <w:t xml:space="preserve">, and when the BMI is outside of normal parameters, a follow-up plan is documented during the visit or during the previous six months of the current visit.” Given what is in the underlined section, I believe that the patient you described would be numerator compliant. </w:t>
      </w:r>
    </w:p>
    <w:p w14:paraId="2DEBFF33" w14:textId="0EAF5FAF" w:rsidR="00CF64F6" w:rsidRDefault="00CF64F6" w:rsidP="00B561F2">
      <w:pPr>
        <w:numPr>
          <w:ilvl w:val="0"/>
          <w:numId w:val="3"/>
        </w:numPr>
        <w:spacing w:after="240" w:line="240" w:lineRule="auto"/>
      </w:pPr>
      <w:r>
        <w:t xml:space="preserve">[In previous reporting templates prior to 2019:] What is the source of 23 to 30 as normal range for those 65 years and over? Most organizations like CDC, WHO are still using 18.5 to 25 as recommendations for all adults. Furthermore, the threshold for UDS (lower) is 18.5. Is there flexibility with leaving the lower threshold as 18.5 to be consistent? </w:t>
      </w:r>
    </w:p>
    <w:p w14:paraId="0E450531" w14:textId="25B414FA" w:rsidR="00CF64F6" w:rsidRDefault="00CF64F6" w:rsidP="00CF64F6">
      <w:pPr>
        <w:spacing w:after="240" w:line="240" w:lineRule="auto"/>
        <w:ind w:left="720"/>
      </w:pPr>
      <w:r>
        <w:rPr>
          <w:color w:val="0075B9" w:themeColor="accent1"/>
        </w:rPr>
        <w:t xml:space="preserve">There is not a differentiation by age of normal parameters of BMI. The PHASE reporting template has been updated to reflect this. The research on BMI ranges for the elderly is mixed. Please see the </w:t>
      </w:r>
      <w:hyperlink r:id="rId8" w:history="1">
        <w:r w:rsidRPr="00CF64F6">
          <w:rPr>
            <w:rStyle w:val="Hyperlink"/>
          </w:rPr>
          <w:t>guidance section of the eCQI</w:t>
        </w:r>
      </w:hyperlink>
      <w:r>
        <w:rPr>
          <w:color w:val="0075B9" w:themeColor="accent1"/>
        </w:rPr>
        <w:t xml:space="preserve"> specification to see the sources. </w:t>
      </w:r>
    </w:p>
    <w:p w14:paraId="51AA0A96" w14:textId="77777777" w:rsidR="00CF64F6" w:rsidRDefault="00CF64F6" w:rsidP="00B561F2">
      <w:pPr>
        <w:numPr>
          <w:ilvl w:val="0"/>
          <w:numId w:val="3"/>
        </w:numPr>
        <w:spacing w:after="0" w:line="240" w:lineRule="auto"/>
      </w:pPr>
      <w:r>
        <w:t>Does the source consider exceptions for Asian populations? Current research suggests that for Asian populations have different associations between BMI, body fat % and health risks than do other populations (</w:t>
      </w:r>
      <w:hyperlink r:id="rId9" w:history="1">
        <w:r>
          <w:rPr>
            <w:rStyle w:val="Hyperlink"/>
          </w:rPr>
          <w:t>WHO</w:t>
        </w:r>
      </w:hyperlink>
      <w:r>
        <w:t xml:space="preserve">). </w:t>
      </w:r>
    </w:p>
    <w:p w14:paraId="4CDCB887" w14:textId="64790DA7" w:rsidR="00CF64F6" w:rsidRDefault="00CF64F6" w:rsidP="00CF64F6">
      <w:pPr>
        <w:spacing w:before="240" w:after="160"/>
        <w:ind w:left="720"/>
        <w:rPr>
          <w:color w:val="0075B9" w:themeColor="accent1"/>
        </w:rPr>
      </w:pPr>
      <w:r>
        <w:rPr>
          <w:color w:val="0075B9" w:themeColor="accent1"/>
        </w:rPr>
        <w:t xml:space="preserve">The source does not consider exceptions for Asian populations. </w:t>
      </w:r>
      <w:r w:rsidRPr="00CF64F6">
        <w:rPr>
          <w:color w:val="0075B9" w:themeColor="accent1"/>
        </w:rPr>
        <w:t xml:space="preserve">clinics should operationalize these measures in such a way to benefit their patient populations. While the specifications are what they are, we’d like for folks to report them as close to the specs as possible – but we recognize that individualized, whole-person patient care means that sometimes these recommendations are not appropriate for each patient. </w:t>
      </w:r>
    </w:p>
    <w:p w14:paraId="49A4617F" w14:textId="77777777" w:rsidR="00594981" w:rsidRDefault="00594981" w:rsidP="00E924F2">
      <w:pPr>
        <w:spacing w:before="100" w:beforeAutospacing="1" w:after="100" w:afterAutospacing="1"/>
        <w:rPr>
          <w:rFonts w:eastAsia="Times New Roman"/>
          <w:b/>
        </w:rPr>
      </w:pPr>
      <w:bookmarkStart w:id="11" w:name="Prescriptions"/>
      <w:bookmarkStart w:id="12" w:name="Tobacco"/>
      <w:bookmarkEnd w:id="11"/>
      <w:bookmarkEnd w:id="12"/>
      <w:r>
        <w:rPr>
          <w:rFonts w:eastAsia="Times New Roman"/>
          <w:b/>
        </w:rPr>
        <w:t>Tobacco</w:t>
      </w:r>
    </w:p>
    <w:p w14:paraId="423D3022" w14:textId="77777777" w:rsidR="00594981" w:rsidRDefault="00594981" w:rsidP="00B561F2">
      <w:pPr>
        <w:pStyle w:val="ListParagraph"/>
        <w:numPr>
          <w:ilvl w:val="0"/>
          <w:numId w:val="3"/>
        </w:numPr>
        <w:spacing w:before="100" w:beforeAutospacing="1" w:after="100" w:afterAutospacing="1"/>
        <w:rPr>
          <w:rFonts w:eastAsia="Times New Roman"/>
        </w:rPr>
      </w:pPr>
      <w:r>
        <w:rPr>
          <w:rFonts w:eastAsia="Times New Roman"/>
        </w:rPr>
        <w:t xml:space="preserve">What is the difference between the previous tobacco measure and the new tobacco measure? </w:t>
      </w:r>
    </w:p>
    <w:p w14:paraId="1B332A21" w14:textId="4DC98C11" w:rsidR="00594981" w:rsidRPr="00594981" w:rsidRDefault="00594981" w:rsidP="00500435">
      <w:pPr>
        <w:ind w:left="720"/>
        <w:rPr>
          <w:color w:val="0075B9" w:themeColor="accent1"/>
        </w:rPr>
      </w:pPr>
      <w:r w:rsidRPr="00594981">
        <w:rPr>
          <w:b/>
          <w:bCs/>
          <w:color w:val="0075B9" w:themeColor="accent1"/>
        </w:rPr>
        <w:t>Regarding CMS138v6:</w:t>
      </w:r>
      <w:r w:rsidRPr="00594981">
        <w:rPr>
          <w:color w:val="0075B9" w:themeColor="accent1"/>
          <w:sz w:val="20"/>
          <w:szCs w:val="20"/>
        </w:rPr>
        <w:t xml:space="preserve"> </w:t>
      </w:r>
      <w:r w:rsidRPr="00594981">
        <w:rPr>
          <w:b/>
          <w:bCs/>
          <w:color w:val="0075B9" w:themeColor="accent1"/>
        </w:rPr>
        <w:t xml:space="preserve">Tobacco Use: Screening and Cessation Intervention: </w:t>
      </w:r>
      <w:r w:rsidRPr="00594981">
        <w:rPr>
          <w:color w:val="0075B9" w:themeColor="accent1"/>
        </w:rPr>
        <w:t>Due to updates in the guidance and specification of CMS138 from 2017 to 2018 by the Centers for Medicare and Medicaid Services (CMS), health centers may see a difference in their “Preventive Care and Screening: Tobacco Use: Screening and Cessation Intervention” clinical quality measure percentage in their 2018 Uniform Data System (UDS) report. This difference stems from the change in the measure logic summarized below:</w:t>
      </w:r>
    </w:p>
    <w:p w14:paraId="14E3E4EB" w14:textId="77777777" w:rsidR="00594981" w:rsidRPr="00594981" w:rsidRDefault="00B127E8" w:rsidP="00594981">
      <w:pPr>
        <w:ind w:left="1080"/>
        <w:rPr>
          <w:color w:val="0075B9" w:themeColor="accent1"/>
        </w:rPr>
      </w:pPr>
      <w:hyperlink r:id="rId10" w:history="1">
        <w:r w:rsidR="00594981" w:rsidRPr="00594981">
          <w:rPr>
            <w:rStyle w:val="Hyperlink"/>
            <w:color w:val="0075B9" w:themeColor="accent1"/>
          </w:rPr>
          <w:t>CMS138v5</w:t>
        </w:r>
      </w:hyperlink>
      <w:r w:rsidR="00594981" w:rsidRPr="00594981">
        <w:rPr>
          <w:color w:val="0075B9" w:themeColor="accent1"/>
        </w:rPr>
        <w:t xml:space="preserve"> (2017): Evidence of tobacco cessation intervention must occur within 24 months of the end of period (e.g., the end of 2017).</w:t>
      </w:r>
    </w:p>
    <w:p w14:paraId="05D1D64E" w14:textId="77777777" w:rsidR="00594981" w:rsidRPr="00594981" w:rsidRDefault="00B127E8" w:rsidP="00594981">
      <w:pPr>
        <w:ind w:left="1080"/>
        <w:rPr>
          <w:color w:val="0075B9" w:themeColor="accent1"/>
        </w:rPr>
      </w:pPr>
      <w:hyperlink r:id="rId11" w:history="1">
        <w:r w:rsidR="00594981" w:rsidRPr="00594981">
          <w:rPr>
            <w:rStyle w:val="Hyperlink"/>
            <w:color w:val="0075B9" w:themeColor="accent1"/>
          </w:rPr>
          <w:t>CMS138v6</w:t>
        </w:r>
      </w:hyperlink>
      <w:r w:rsidR="00594981" w:rsidRPr="00594981">
        <w:rPr>
          <w:color w:val="0075B9" w:themeColor="accent1"/>
        </w:rPr>
        <w:t xml:space="preserve"> (2018): Evidence of tobacco cessation intervention must start </w:t>
      </w:r>
      <w:r w:rsidR="00594981" w:rsidRPr="00594981">
        <w:rPr>
          <w:i/>
          <w:iCs/>
          <w:color w:val="0075B9" w:themeColor="accent1"/>
        </w:rPr>
        <w:t>concurrent with</w:t>
      </w:r>
      <w:r w:rsidR="00594981" w:rsidRPr="00594981">
        <w:rPr>
          <w:color w:val="0075B9" w:themeColor="accent1"/>
        </w:rPr>
        <w:t xml:space="preserve"> or </w:t>
      </w:r>
      <w:r w:rsidR="00594981" w:rsidRPr="00594981">
        <w:rPr>
          <w:i/>
          <w:iCs/>
          <w:color w:val="0075B9" w:themeColor="accent1"/>
        </w:rPr>
        <w:t>after</w:t>
      </w:r>
      <w:r w:rsidR="00594981" w:rsidRPr="00594981">
        <w:rPr>
          <w:color w:val="0075B9" w:themeColor="accent1"/>
        </w:rPr>
        <w:t xml:space="preserve"> the most recent tobacco use screening. Health centers must also use the most recent screening which has a documented status of tobacco user or tobacco non-user to satisfy the measure.</w:t>
      </w:r>
    </w:p>
    <w:p w14:paraId="5E171406" w14:textId="77777777" w:rsidR="00594981" w:rsidRDefault="00594981" w:rsidP="00594981">
      <w:pPr>
        <w:ind w:left="720"/>
        <w:rPr>
          <w:color w:val="0075B9" w:themeColor="accent1"/>
        </w:rPr>
      </w:pPr>
      <w:r w:rsidRPr="00594981">
        <w:rPr>
          <w:color w:val="0075B9" w:themeColor="accent1"/>
        </w:rPr>
        <w:t xml:space="preserve">The Health Resources and Services Administration is aware of the measurement change, and health centers should continue to follow the specifications from CMS on this measure. Please feel free to share this note with your networks and/or other UDS stakeholders. </w:t>
      </w:r>
    </w:p>
    <w:p w14:paraId="36681208" w14:textId="77777777" w:rsidR="00594981" w:rsidRPr="00594981" w:rsidRDefault="00B127E8" w:rsidP="00594981">
      <w:pPr>
        <w:ind w:left="720"/>
        <w:rPr>
          <w:color w:val="0075B9" w:themeColor="accent1"/>
        </w:rPr>
      </w:pPr>
      <w:hyperlink r:id="rId12" w:history="1">
        <w:r w:rsidR="00594981" w:rsidRPr="00B25695">
          <w:rPr>
            <w:rStyle w:val="Hyperlink"/>
          </w:rPr>
          <w:t>https://ecqi.healthit.gov/ecqm/measures/cms138v6</w:t>
        </w:r>
      </w:hyperlink>
      <w:r w:rsidR="00594981">
        <w:rPr>
          <w:color w:val="0075B9" w:themeColor="accent1"/>
        </w:rPr>
        <w:t xml:space="preserve"> </w:t>
      </w:r>
    </w:p>
    <w:p w14:paraId="51888D4E" w14:textId="77777777" w:rsidR="00594981" w:rsidRDefault="00594981" w:rsidP="00B561F2">
      <w:pPr>
        <w:pStyle w:val="ListParagraph"/>
        <w:numPr>
          <w:ilvl w:val="0"/>
          <w:numId w:val="3"/>
        </w:numPr>
        <w:spacing w:before="100" w:beforeAutospacing="1" w:after="100" w:afterAutospacing="1"/>
      </w:pPr>
      <w:r>
        <w:t>How do you anticipate the change in measure specification will impact our rates?</w:t>
      </w:r>
    </w:p>
    <w:p w14:paraId="7EA1BF5A" w14:textId="77777777" w:rsidR="00594981" w:rsidRPr="00594981" w:rsidRDefault="00594981" w:rsidP="00594981">
      <w:pPr>
        <w:spacing w:before="100" w:beforeAutospacing="1" w:after="100" w:afterAutospacing="1"/>
        <w:ind w:left="720"/>
        <w:rPr>
          <w:color w:val="0075B9" w:themeColor="accent1"/>
        </w:rPr>
      </w:pPr>
      <w:r>
        <w:rPr>
          <w:color w:val="0075B9" w:themeColor="accent1"/>
        </w:rPr>
        <w:t>This change may cause a reduction of up to 6% in the performance percentage for some health centers.</w:t>
      </w:r>
    </w:p>
    <w:p w14:paraId="1E36CD9E" w14:textId="77777777" w:rsidR="00E924F2" w:rsidRPr="00E924F2" w:rsidRDefault="00E924F2" w:rsidP="00E924F2">
      <w:pPr>
        <w:spacing w:before="100" w:beforeAutospacing="1" w:after="100" w:afterAutospacing="1"/>
        <w:rPr>
          <w:rFonts w:eastAsia="Times New Roman"/>
          <w:b/>
        </w:rPr>
      </w:pPr>
      <w:r w:rsidRPr="00E924F2">
        <w:rPr>
          <w:rFonts w:eastAsia="Times New Roman"/>
          <w:b/>
        </w:rPr>
        <w:t>Prescription of medications</w:t>
      </w:r>
    </w:p>
    <w:p w14:paraId="377AEBDC" w14:textId="77777777" w:rsidR="00E924F2" w:rsidRDefault="00E924F2" w:rsidP="00B561F2">
      <w:pPr>
        <w:numPr>
          <w:ilvl w:val="0"/>
          <w:numId w:val="3"/>
        </w:numPr>
        <w:spacing w:before="100" w:beforeAutospacing="1" w:after="100" w:afterAutospacing="1"/>
        <w:rPr>
          <w:rFonts w:eastAsia="Times New Roman"/>
        </w:rPr>
      </w:pPr>
      <w:r>
        <w:rPr>
          <w:rFonts w:eastAsia="Times New Roman"/>
        </w:rPr>
        <w:t>What does it mean to have a medication order current during the measurement year?</w:t>
      </w:r>
    </w:p>
    <w:p w14:paraId="01B71903" w14:textId="77777777" w:rsidR="00E924F2" w:rsidRDefault="00E924F2" w:rsidP="00E924F2">
      <w:pPr>
        <w:spacing w:before="100" w:beforeAutospacing="1" w:after="100" w:afterAutospacing="1"/>
        <w:ind w:left="720"/>
        <w:rPr>
          <w:color w:val="0075B9" w:themeColor="accent1"/>
        </w:rPr>
      </w:pPr>
      <w:r>
        <w:rPr>
          <w:color w:val="0075B9" w:themeColor="accent1"/>
        </w:rPr>
        <w:t>Individual grantees can decide how best to operationalize this definition within their system. It could be that the medication order was current at any point during the measurement year, current during the entire year, or somewhere in between.</w:t>
      </w:r>
    </w:p>
    <w:p w14:paraId="68474381" w14:textId="77777777" w:rsidR="00E924F2" w:rsidRPr="00307D02" w:rsidRDefault="00E924F2" w:rsidP="00B561F2">
      <w:pPr>
        <w:numPr>
          <w:ilvl w:val="0"/>
          <w:numId w:val="3"/>
        </w:numPr>
        <w:spacing w:before="100" w:beforeAutospacing="1" w:after="100" w:afterAutospacing="1"/>
        <w:rPr>
          <w:rFonts w:eastAsia="Times New Roman"/>
        </w:rPr>
      </w:pPr>
      <w:r w:rsidRPr="00307D02">
        <w:rPr>
          <w:rFonts w:eastAsia="Times New Roman"/>
        </w:rPr>
        <w:t>For the medication measures, are the patients who have drug-allergy or drug-drug interaction contraindication included or excluded?</w:t>
      </w:r>
    </w:p>
    <w:p w14:paraId="10F5ADA5" w14:textId="77777777" w:rsidR="00E924F2" w:rsidRPr="00307D02" w:rsidRDefault="00E924F2" w:rsidP="00E924F2">
      <w:pPr>
        <w:spacing w:before="100" w:beforeAutospacing="1" w:after="100" w:afterAutospacing="1"/>
        <w:ind w:left="720"/>
        <w:rPr>
          <w:rFonts w:eastAsia="Times New Roman"/>
          <w:color w:val="0075B9" w:themeColor="accent1"/>
        </w:rPr>
      </w:pPr>
      <w:r w:rsidRPr="00307D02">
        <w:rPr>
          <w:rFonts w:eastAsia="Times New Roman"/>
          <w:color w:val="0075B9" w:themeColor="accent1"/>
        </w:rPr>
        <w:t>Short answer: they can be excluded.</w:t>
      </w:r>
    </w:p>
    <w:p w14:paraId="3C134E23" w14:textId="77777777" w:rsidR="00E924F2" w:rsidRPr="00307D02" w:rsidRDefault="00E924F2" w:rsidP="00E924F2">
      <w:pPr>
        <w:spacing w:before="100" w:beforeAutospacing="1" w:after="100" w:afterAutospacing="1"/>
        <w:ind w:left="720"/>
        <w:rPr>
          <w:rFonts w:eastAsia="Times New Roman"/>
          <w:color w:val="0075B9" w:themeColor="accent1"/>
        </w:rPr>
      </w:pPr>
      <w:r w:rsidRPr="00307D02">
        <w:rPr>
          <w:rFonts w:eastAsia="Times New Roman"/>
          <w:color w:val="0075B9" w:themeColor="accent1"/>
        </w:rPr>
        <w:t>Long answer: The medication measures’ denominators, in the most ideal scenarios, would be only patients for whom the drug is indicated. For this evaluation, we realize that not all grantees would be able to track this, so we didn’t use that as the denominator. We instead use the population that is most likely to be indicated for the medications: diabetics aged 55-75 and those with hypertension aged 18-85.</w:t>
      </w:r>
    </w:p>
    <w:p w14:paraId="4BA95B39" w14:textId="2D63C86B" w:rsidR="00E924F2" w:rsidRPr="00307D02" w:rsidRDefault="00E924F2" w:rsidP="00B561F2">
      <w:pPr>
        <w:numPr>
          <w:ilvl w:val="0"/>
          <w:numId w:val="3"/>
        </w:numPr>
        <w:spacing w:before="100" w:beforeAutospacing="1" w:after="100" w:afterAutospacing="1"/>
        <w:rPr>
          <w:rFonts w:eastAsia="Times New Roman"/>
        </w:rPr>
      </w:pPr>
      <w:r w:rsidRPr="00307D02">
        <w:rPr>
          <w:rFonts w:eastAsia="Times New Roman"/>
        </w:rPr>
        <w:t>I</w:t>
      </w:r>
      <w:r>
        <w:rPr>
          <w:rFonts w:eastAsia="Times New Roman"/>
        </w:rPr>
        <w:t>n</w:t>
      </w:r>
      <w:r w:rsidRPr="00307D02">
        <w:rPr>
          <w:rFonts w:eastAsia="Times New Roman"/>
        </w:rPr>
        <w:t xml:space="preserve"> the </w:t>
      </w:r>
      <w:r>
        <w:rPr>
          <w:rFonts w:eastAsia="Times New Roman"/>
        </w:rPr>
        <w:t xml:space="preserve">provided list of </w:t>
      </w:r>
      <w:r w:rsidRPr="00307D02">
        <w:rPr>
          <w:rFonts w:eastAsia="Times New Roman"/>
        </w:rPr>
        <w:t>oral medication</w:t>
      </w:r>
      <w:r>
        <w:rPr>
          <w:rFonts w:eastAsia="Times New Roman"/>
        </w:rPr>
        <w:t>s</w:t>
      </w:r>
      <w:r w:rsidRPr="00307D02">
        <w:rPr>
          <w:rFonts w:eastAsia="Times New Roman"/>
        </w:rPr>
        <w:t xml:space="preserve"> for hypertension</w:t>
      </w:r>
      <w:r>
        <w:rPr>
          <w:rFonts w:eastAsia="Times New Roman"/>
        </w:rPr>
        <w:t>,</w:t>
      </w:r>
      <w:r w:rsidRPr="00307D02">
        <w:rPr>
          <w:rFonts w:eastAsia="Times New Roman"/>
        </w:rPr>
        <w:t xml:space="preserve"> Hydrochlorothiazide was </w:t>
      </w:r>
      <w:r w:rsidRPr="003D13B2">
        <w:rPr>
          <w:rFonts w:eastAsia="Times New Roman"/>
          <w:u w:val="single"/>
        </w:rPr>
        <w:t>not</w:t>
      </w:r>
      <w:r w:rsidRPr="00307D02">
        <w:rPr>
          <w:rFonts w:eastAsia="Times New Roman"/>
        </w:rPr>
        <w:t xml:space="preserve"> listed as an isolated drug, it is only listed in combination with other drugs. </w:t>
      </w:r>
      <w:r>
        <w:rPr>
          <w:rFonts w:eastAsia="Times New Roman"/>
        </w:rPr>
        <w:t>In</w:t>
      </w:r>
      <w:r w:rsidRPr="00307D02">
        <w:rPr>
          <w:rFonts w:eastAsia="Times New Roman"/>
        </w:rPr>
        <w:t xml:space="preserve"> </w:t>
      </w:r>
      <w:r>
        <w:rPr>
          <w:rFonts w:eastAsia="Times New Roman"/>
        </w:rPr>
        <w:t>the definition, t</w:t>
      </w:r>
      <w:r w:rsidRPr="00307D02">
        <w:rPr>
          <w:rFonts w:eastAsia="Times New Roman"/>
        </w:rPr>
        <w:t>here is a note that says</w:t>
      </w:r>
      <w:r w:rsidR="00F25CFB">
        <w:rPr>
          <w:rFonts w:eastAsia="Times New Roman"/>
        </w:rPr>
        <w:t>,</w:t>
      </w:r>
      <w:r w:rsidRPr="00307D02">
        <w:rPr>
          <w:rFonts w:eastAsia="Times New Roman"/>
        </w:rPr>
        <w:t xml:space="preserve"> "if there are additional medications that you think are appropriate, please use your expert judgment."</w:t>
      </w:r>
      <w:r w:rsidRPr="00307D02">
        <w:rPr>
          <w:rFonts w:eastAsia="Times New Roman"/>
          <w:color w:val="000000"/>
        </w:rPr>
        <w:t xml:space="preserve"> </w:t>
      </w:r>
      <w:r>
        <w:rPr>
          <w:rFonts w:eastAsia="Times New Roman"/>
          <w:color w:val="000000"/>
        </w:rPr>
        <w:t xml:space="preserve">Can Hydrochlorothiazide be considered a medication for this measure as an isolated drug? </w:t>
      </w:r>
    </w:p>
    <w:p w14:paraId="3B1D70A0" w14:textId="77777777" w:rsidR="00E924F2" w:rsidRPr="00E924F2" w:rsidRDefault="00E924F2" w:rsidP="00E924F2">
      <w:pPr>
        <w:spacing w:before="100" w:beforeAutospacing="1" w:after="100" w:afterAutospacing="1"/>
        <w:ind w:left="720"/>
        <w:rPr>
          <w:rFonts w:eastAsia="Times New Roman"/>
          <w:color w:val="0075B9" w:themeColor="accent1"/>
        </w:rPr>
      </w:pPr>
      <w:r>
        <w:rPr>
          <w:rFonts w:eastAsia="Times New Roman"/>
          <w:color w:val="0075B9" w:themeColor="accent1"/>
        </w:rPr>
        <w:t xml:space="preserve">Yes, </w:t>
      </w:r>
      <w:r w:rsidRPr="00742978">
        <w:rPr>
          <w:rFonts w:eastAsia="Times New Roman"/>
          <w:color w:val="0075B9" w:themeColor="accent1"/>
        </w:rPr>
        <w:t>Hydrochlorothiazide</w:t>
      </w:r>
      <w:r>
        <w:rPr>
          <w:rFonts w:eastAsia="Times New Roman"/>
          <w:color w:val="0075B9" w:themeColor="accent1"/>
        </w:rPr>
        <w:t xml:space="preserve"> should be included by itself as an oral anti-hypertensive medication. This was an oversight.</w:t>
      </w:r>
    </w:p>
    <w:p w14:paraId="73767892" w14:textId="77777777" w:rsidR="001457F1" w:rsidRPr="004A0028" w:rsidRDefault="008B3CF4" w:rsidP="004A0028">
      <w:pPr>
        <w:spacing w:before="100" w:beforeAutospacing="1" w:after="100" w:afterAutospacing="1"/>
        <w:rPr>
          <w:rFonts w:eastAsia="Times New Roman"/>
          <w:b/>
        </w:rPr>
      </w:pPr>
      <w:bookmarkStart w:id="13" w:name="Resources"/>
      <w:bookmarkEnd w:id="13"/>
      <w:r>
        <w:rPr>
          <w:rFonts w:eastAsia="Times New Roman"/>
          <w:b/>
        </w:rPr>
        <w:lastRenderedPageBreak/>
        <w:t>Published</w:t>
      </w:r>
      <w:r w:rsidR="00E924F2">
        <w:rPr>
          <w:rFonts w:eastAsia="Times New Roman"/>
          <w:b/>
        </w:rPr>
        <w:t xml:space="preserve"> resources</w:t>
      </w:r>
    </w:p>
    <w:p w14:paraId="22FC8010" w14:textId="77777777" w:rsidR="00297ADF" w:rsidRDefault="00307D02" w:rsidP="00B561F2">
      <w:pPr>
        <w:numPr>
          <w:ilvl w:val="0"/>
          <w:numId w:val="3"/>
        </w:numPr>
        <w:spacing w:before="100" w:beforeAutospacing="1" w:after="100" w:afterAutospacing="1"/>
        <w:rPr>
          <w:rFonts w:eastAsia="Times New Roman"/>
        </w:rPr>
      </w:pPr>
      <w:r w:rsidRPr="00307D02">
        <w:rPr>
          <w:rFonts w:eastAsia="Times New Roman"/>
        </w:rPr>
        <w:t xml:space="preserve">Do you know of any research that has been done comparing the clinical health outcomes of patients who are part of PHASE versus those who are not? </w:t>
      </w:r>
    </w:p>
    <w:p w14:paraId="4BC9A593" w14:textId="77777777" w:rsidR="00297ADF" w:rsidRPr="00FB7D8B" w:rsidRDefault="00297ADF" w:rsidP="00297ADF">
      <w:pPr>
        <w:spacing w:before="100" w:beforeAutospacing="1" w:after="100" w:afterAutospacing="1"/>
        <w:ind w:left="720"/>
        <w:rPr>
          <w:rFonts w:eastAsia="Times New Roman"/>
          <w:color w:val="0075B9" w:themeColor="accent1"/>
        </w:rPr>
      </w:pPr>
      <w:r w:rsidRPr="00FB7D8B">
        <w:rPr>
          <w:rFonts w:eastAsia="Times New Roman"/>
          <w:color w:val="0075B9" w:themeColor="accent1"/>
        </w:rPr>
        <w:t>There are three articles that may be of interest:</w:t>
      </w:r>
    </w:p>
    <w:p w14:paraId="11E1E859" w14:textId="77777777" w:rsidR="004F18CA" w:rsidRPr="00FB7D8B" w:rsidRDefault="00297ADF" w:rsidP="00297ADF">
      <w:pPr>
        <w:pStyle w:val="ListParagraph"/>
        <w:numPr>
          <w:ilvl w:val="0"/>
          <w:numId w:val="2"/>
        </w:numPr>
        <w:rPr>
          <w:color w:val="0075B9" w:themeColor="accent1"/>
        </w:rPr>
      </w:pPr>
      <w:r w:rsidRPr="00FB7D8B">
        <w:rPr>
          <w:color w:val="0075B9" w:themeColor="accent1"/>
        </w:rPr>
        <w:t xml:space="preserve">Dudl JR, Wang MC, Wong M, Bellows J. Preventing myocardial infarction and stroke with a simplified bundle of cardioprotective medications. </w:t>
      </w:r>
      <w:r w:rsidRPr="00FB7D8B">
        <w:rPr>
          <w:i/>
          <w:color w:val="0075B9" w:themeColor="accent1"/>
        </w:rPr>
        <w:t>Am J Manag Care.</w:t>
      </w:r>
      <w:r w:rsidRPr="00FB7D8B">
        <w:rPr>
          <w:color w:val="0075B9" w:themeColor="accent1"/>
        </w:rPr>
        <w:t xml:space="preserve"> 2009; 15(10): e88-e94.</w:t>
      </w:r>
    </w:p>
    <w:p w14:paraId="229B600C" w14:textId="77777777" w:rsidR="00297ADF" w:rsidRPr="00FB7D8B" w:rsidRDefault="00297ADF" w:rsidP="00297ADF">
      <w:pPr>
        <w:pStyle w:val="ListParagraph"/>
        <w:numPr>
          <w:ilvl w:val="0"/>
          <w:numId w:val="2"/>
        </w:numPr>
        <w:rPr>
          <w:color w:val="0075B9" w:themeColor="accent1"/>
        </w:rPr>
      </w:pPr>
      <w:r w:rsidRPr="00FB7D8B">
        <w:rPr>
          <w:color w:val="0075B9" w:themeColor="accent1"/>
        </w:rPr>
        <w:t xml:space="preserve">Gold R, Nelson C, Cowburn S, et al. Feasibility and impact of implementing a private care system’s diabetes quality improvement intervention in the safety net: a cluster-randomized trial. </w:t>
      </w:r>
      <w:r w:rsidRPr="00FB7D8B">
        <w:rPr>
          <w:i/>
          <w:color w:val="0075B9" w:themeColor="accent1"/>
        </w:rPr>
        <w:t>Implementation Science</w:t>
      </w:r>
      <w:r w:rsidRPr="00FB7D8B">
        <w:rPr>
          <w:color w:val="0075B9" w:themeColor="accent1"/>
        </w:rPr>
        <w:t xml:space="preserve"> 2015; 10(83): DOI 10.1186/s13012-015-0259-4.</w:t>
      </w:r>
    </w:p>
    <w:p w14:paraId="3DC06B4D" w14:textId="77777777" w:rsidR="00297ADF" w:rsidRDefault="00297ADF" w:rsidP="00297ADF">
      <w:pPr>
        <w:pStyle w:val="ListParagraph"/>
        <w:numPr>
          <w:ilvl w:val="0"/>
          <w:numId w:val="2"/>
        </w:numPr>
        <w:rPr>
          <w:color w:val="0075B9" w:themeColor="accent1"/>
        </w:rPr>
      </w:pPr>
      <w:r w:rsidRPr="00FB7D8B">
        <w:rPr>
          <w:color w:val="0075B9" w:themeColor="accent1"/>
        </w:rPr>
        <w:t xml:space="preserve">Wong W, Jaffe M, Wong M, Dudl JR. Community implementation and translation of Kaiser Permanente’s cardiovascular disease risk-reduction strategy. </w:t>
      </w:r>
      <w:r w:rsidRPr="00FB7D8B">
        <w:rPr>
          <w:i/>
          <w:color w:val="0075B9" w:themeColor="accent1"/>
        </w:rPr>
        <w:t>The Permanente Journal</w:t>
      </w:r>
      <w:r w:rsidRPr="00FB7D8B">
        <w:rPr>
          <w:color w:val="0075B9" w:themeColor="accent1"/>
        </w:rPr>
        <w:t xml:space="preserve"> 2011; 15(1): 36-41.</w:t>
      </w:r>
    </w:p>
    <w:p w14:paraId="19E132A1" w14:textId="75B897C9" w:rsidR="008B3CF4" w:rsidRPr="00055AF7" w:rsidRDefault="00B127E8" w:rsidP="00896E6C">
      <w:pPr>
        <w:spacing w:before="240"/>
        <w:rPr>
          <w:b/>
        </w:rPr>
      </w:pPr>
      <w:bookmarkStart w:id="14" w:name="AlignmentWithOtherReporting"/>
      <w:bookmarkEnd w:id="14"/>
      <w:r w:rsidRPr="007B0C8B">
        <w:rPr>
          <w:rFonts w:eastAsia="Times New Roman"/>
          <w:color w:val="FF0000"/>
        </w:rPr>
        <w:t>*NEW*</w:t>
      </w:r>
      <w:r>
        <w:rPr>
          <w:rFonts w:eastAsia="Times New Roman"/>
          <w:color w:val="FF0000"/>
        </w:rPr>
        <w:t xml:space="preserve"> </w:t>
      </w:r>
      <w:r w:rsidR="00055AF7" w:rsidRPr="00055AF7">
        <w:rPr>
          <w:b/>
        </w:rPr>
        <w:t>Alignment with other reporting requirements</w:t>
      </w:r>
      <w:r>
        <w:rPr>
          <w:b/>
        </w:rPr>
        <w:t xml:space="preserve"> </w:t>
      </w:r>
    </w:p>
    <w:tbl>
      <w:tblPr>
        <w:tblW w:w="9468" w:type="dxa"/>
        <w:tblInd w:w="108" w:type="dxa"/>
        <w:tblBorders>
          <w:top w:val="single" w:sz="4" w:space="0" w:color="0075B9" w:themeColor="accent1"/>
          <w:left w:val="single" w:sz="4" w:space="0" w:color="0075B9" w:themeColor="accent1"/>
          <w:bottom w:val="single" w:sz="4" w:space="0" w:color="0075B9" w:themeColor="accent1"/>
          <w:right w:val="single" w:sz="4" w:space="0" w:color="0075B9" w:themeColor="accent1"/>
          <w:insideH w:val="single" w:sz="4" w:space="0" w:color="0075B9" w:themeColor="accent1"/>
          <w:insideV w:val="single" w:sz="4" w:space="0" w:color="0075B9" w:themeColor="accent1"/>
        </w:tblBorders>
        <w:tblLook w:val="04A0" w:firstRow="1" w:lastRow="0" w:firstColumn="1" w:lastColumn="0" w:noHBand="0" w:noVBand="1"/>
      </w:tblPr>
      <w:tblGrid>
        <w:gridCol w:w="3318"/>
        <w:gridCol w:w="1188"/>
        <w:gridCol w:w="4962"/>
      </w:tblGrid>
      <w:tr w:rsidR="007B0C8B" w:rsidRPr="00055AF7" w14:paraId="6C3D95DC" w14:textId="77777777" w:rsidTr="007B0C8B">
        <w:trPr>
          <w:trHeight w:val="300"/>
        </w:trPr>
        <w:tc>
          <w:tcPr>
            <w:tcW w:w="3960" w:type="dxa"/>
            <w:shd w:val="clear" w:color="auto" w:fill="0075B9" w:themeFill="accent1"/>
            <w:noWrap/>
            <w:vAlign w:val="bottom"/>
            <w:hideMark/>
          </w:tcPr>
          <w:p w14:paraId="196E18E3" w14:textId="77777777" w:rsidR="00055AF7" w:rsidRPr="00055AF7" w:rsidRDefault="00055AF7" w:rsidP="00055AF7">
            <w:pPr>
              <w:spacing w:after="0" w:line="240" w:lineRule="auto"/>
              <w:rPr>
                <w:rFonts w:ascii="Calibri" w:eastAsia="Times New Roman" w:hAnsi="Calibri" w:cs="Times New Roman"/>
                <w:b/>
                <w:bCs/>
                <w:color w:val="FFFFFF" w:themeColor="background1"/>
              </w:rPr>
            </w:pPr>
            <w:r w:rsidRPr="00055AF7">
              <w:rPr>
                <w:rFonts w:ascii="Calibri" w:eastAsia="Times New Roman" w:hAnsi="Calibri" w:cs="Times New Roman"/>
                <w:b/>
                <w:bCs/>
                <w:color w:val="FFFFFF" w:themeColor="background1"/>
              </w:rPr>
              <w:t>Measure Name</w:t>
            </w:r>
          </w:p>
        </w:tc>
        <w:tc>
          <w:tcPr>
            <w:tcW w:w="1389" w:type="dxa"/>
            <w:shd w:val="clear" w:color="auto" w:fill="0075B9" w:themeFill="accent1"/>
            <w:noWrap/>
            <w:vAlign w:val="bottom"/>
            <w:hideMark/>
          </w:tcPr>
          <w:p w14:paraId="2FBD8B84" w14:textId="325C1AC2" w:rsidR="00055AF7" w:rsidRPr="00055AF7" w:rsidRDefault="00055AF7" w:rsidP="00055AF7">
            <w:pPr>
              <w:spacing w:after="0" w:line="240" w:lineRule="auto"/>
              <w:rPr>
                <w:rFonts w:ascii="Calibri" w:eastAsia="Times New Roman" w:hAnsi="Calibri" w:cs="Times New Roman"/>
                <w:b/>
                <w:bCs/>
                <w:color w:val="FFFFFF" w:themeColor="background1"/>
              </w:rPr>
            </w:pPr>
            <w:r w:rsidRPr="00055AF7">
              <w:rPr>
                <w:rFonts w:ascii="Calibri" w:eastAsia="Times New Roman" w:hAnsi="Calibri" w:cs="Times New Roman"/>
                <w:b/>
                <w:bCs/>
                <w:color w:val="FFFFFF" w:themeColor="background1"/>
              </w:rPr>
              <w:t>Alignment</w:t>
            </w:r>
          </w:p>
        </w:tc>
        <w:tc>
          <w:tcPr>
            <w:tcW w:w="4119" w:type="dxa"/>
            <w:shd w:val="clear" w:color="auto" w:fill="0075B9" w:themeFill="accent1"/>
            <w:noWrap/>
            <w:vAlign w:val="bottom"/>
            <w:hideMark/>
          </w:tcPr>
          <w:p w14:paraId="159E12A2" w14:textId="77777777" w:rsidR="00055AF7" w:rsidRPr="00055AF7" w:rsidRDefault="00055AF7" w:rsidP="00055AF7">
            <w:pPr>
              <w:spacing w:after="0" w:line="240" w:lineRule="auto"/>
              <w:rPr>
                <w:rFonts w:ascii="Calibri" w:eastAsia="Times New Roman" w:hAnsi="Calibri" w:cs="Times New Roman"/>
                <w:b/>
                <w:bCs/>
                <w:color w:val="FFFFFF" w:themeColor="background1"/>
              </w:rPr>
            </w:pPr>
            <w:r w:rsidRPr="00055AF7">
              <w:rPr>
                <w:rFonts w:ascii="Calibri" w:eastAsia="Times New Roman" w:hAnsi="Calibri" w:cs="Times New Roman"/>
                <w:b/>
                <w:bCs/>
                <w:color w:val="FFFFFF" w:themeColor="background1"/>
              </w:rPr>
              <w:t>Link</w:t>
            </w:r>
          </w:p>
        </w:tc>
      </w:tr>
      <w:tr w:rsidR="007B0C8B" w:rsidRPr="00055AF7" w14:paraId="624FFF9F" w14:textId="77777777" w:rsidTr="007B0C8B">
        <w:trPr>
          <w:trHeight w:val="300"/>
        </w:trPr>
        <w:tc>
          <w:tcPr>
            <w:tcW w:w="3960" w:type="dxa"/>
            <w:shd w:val="clear" w:color="auto" w:fill="auto"/>
            <w:noWrap/>
            <w:vAlign w:val="bottom"/>
            <w:hideMark/>
          </w:tcPr>
          <w:p w14:paraId="11AAFDEE"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Tobacco use: screening &amp; cessation intervention</w:t>
            </w:r>
          </w:p>
        </w:tc>
        <w:tc>
          <w:tcPr>
            <w:tcW w:w="1389" w:type="dxa"/>
            <w:shd w:val="clear" w:color="auto" w:fill="auto"/>
            <w:noWrap/>
            <w:vAlign w:val="bottom"/>
            <w:hideMark/>
          </w:tcPr>
          <w:p w14:paraId="67DC413D"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CMS 138</w:t>
            </w:r>
          </w:p>
        </w:tc>
        <w:tc>
          <w:tcPr>
            <w:tcW w:w="4119" w:type="dxa"/>
            <w:shd w:val="clear" w:color="auto" w:fill="auto"/>
            <w:noWrap/>
            <w:vAlign w:val="bottom"/>
            <w:hideMark/>
          </w:tcPr>
          <w:p w14:paraId="07BFC0B1"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https://ecqi.healthit.gov/ecqm/measures/cms138v6</w:t>
            </w:r>
          </w:p>
        </w:tc>
      </w:tr>
      <w:tr w:rsidR="007B0C8B" w:rsidRPr="00055AF7" w14:paraId="5A7FE9F1" w14:textId="77777777" w:rsidTr="007B0C8B">
        <w:trPr>
          <w:trHeight w:val="300"/>
        </w:trPr>
        <w:tc>
          <w:tcPr>
            <w:tcW w:w="3960" w:type="dxa"/>
            <w:shd w:val="clear" w:color="auto" w:fill="auto"/>
            <w:noWrap/>
            <w:vAlign w:val="bottom"/>
            <w:hideMark/>
          </w:tcPr>
          <w:p w14:paraId="320E4EE1"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Tobacco use: screening &amp; cessation intervention</w:t>
            </w:r>
          </w:p>
        </w:tc>
        <w:tc>
          <w:tcPr>
            <w:tcW w:w="1389" w:type="dxa"/>
            <w:shd w:val="clear" w:color="auto" w:fill="auto"/>
            <w:noWrap/>
            <w:vAlign w:val="bottom"/>
            <w:hideMark/>
          </w:tcPr>
          <w:p w14:paraId="69F4D897"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NQF 0028</w:t>
            </w:r>
          </w:p>
        </w:tc>
        <w:tc>
          <w:tcPr>
            <w:tcW w:w="4119" w:type="dxa"/>
            <w:shd w:val="clear" w:color="auto" w:fill="auto"/>
            <w:noWrap/>
            <w:vAlign w:val="bottom"/>
            <w:hideMark/>
          </w:tcPr>
          <w:p w14:paraId="7126044D"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https://www.ncdr.com/WebNCDR/docs/default-source/pinnacle-public-documents/2018_measure_226_registry.pdf?sfvrsn=6</w:t>
            </w:r>
          </w:p>
        </w:tc>
      </w:tr>
      <w:tr w:rsidR="007B0C8B" w:rsidRPr="00055AF7" w14:paraId="1BE01703" w14:textId="77777777" w:rsidTr="007B0C8B">
        <w:trPr>
          <w:trHeight w:val="300"/>
        </w:trPr>
        <w:tc>
          <w:tcPr>
            <w:tcW w:w="3960" w:type="dxa"/>
            <w:shd w:val="clear" w:color="auto" w:fill="auto"/>
            <w:noWrap/>
            <w:vAlign w:val="bottom"/>
            <w:hideMark/>
          </w:tcPr>
          <w:p w14:paraId="783EB902"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BMI screening &amp; follow-up plan</w:t>
            </w:r>
          </w:p>
        </w:tc>
        <w:tc>
          <w:tcPr>
            <w:tcW w:w="1389" w:type="dxa"/>
            <w:shd w:val="clear" w:color="auto" w:fill="auto"/>
            <w:noWrap/>
            <w:vAlign w:val="bottom"/>
            <w:hideMark/>
          </w:tcPr>
          <w:p w14:paraId="194C889A"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CMS 69</w:t>
            </w:r>
          </w:p>
        </w:tc>
        <w:tc>
          <w:tcPr>
            <w:tcW w:w="4119" w:type="dxa"/>
            <w:shd w:val="clear" w:color="auto" w:fill="auto"/>
            <w:noWrap/>
            <w:vAlign w:val="bottom"/>
            <w:hideMark/>
          </w:tcPr>
          <w:p w14:paraId="28212DA0"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https://ecqi.healthit.gov/ecqm/measures/cms69v7</w:t>
            </w:r>
          </w:p>
        </w:tc>
      </w:tr>
      <w:tr w:rsidR="007B0C8B" w:rsidRPr="00055AF7" w14:paraId="40B9E63C" w14:textId="77777777" w:rsidTr="007B0C8B">
        <w:trPr>
          <w:trHeight w:val="300"/>
        </w:trPr>
        <w:tc>
          <w:tcPr>
            <w:tcW w:w="3960" w:type="dxa"/>
            <w:shd w:val="clear" w:color="auto" w:fill="auto"/>
            <w:noWrap/>
            <w:vAlign w:val="bottom"/>
            <w:hideMark/>
          </w:tcPr>
          <w:p w14:paraId="7EDF974B"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BMI screening &amp; follow-up plan</w:t>
            </w:r>
          </w:p>
        </w:tc>
        <w:tc>
          <w:tcPr>
            <w:tcW w:w="1389" w:type="dxa"/>
            <w:shd w:val="clear" w:color="auto" w:fill="auto"/>
            <w:noWrap/>
            <w:vAlign w:val="bottom"/>
            <w:hideMark/>
          </w:tcPr>
          <w:p w14:paraId="62BC03D7"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NQF 0421</w:t>
            </w:r>
          </w:p>
        </w:tc>
        <w:tc>
          <w:tcPr>
            <w:tcW w:w="4119" w:type="dxa"/>
            <w:shd w:val="clear" w:color="auto" w:fill="auto"/>
            <w:noWrap/>
            <w:vAlign w:val="bottom"/>
            <w:hideMark/>
          </w:tcPr>
          <w:p w14:paraId="61EC4903" w14:textId="77777777" w:rsidR="00055AF7" w:rsidRPr="00055AF7" w:rsidRDefault="00055AF7" w:rsidP="00055AF7">
            <w:pPr>
              <w:spacing w:after="0" w:line="240" w:lineRule="auto"/>
              <w:rPr>
                <w:rFonts w:ascii="Calibri" w:eastAsia="Times New Roman" w:hAnsi="Calibri" w:cs="Times New Roman"/>
                <w:color w:val="0000FF"/>
                <w:sz w:val="14"/>
                <w:u w:val="single"/>
              </w:rPr>
            </w:pPr>
            <w:hyperlink r:id="rId13" w:history="1">
              <w:r w:rsidRPr="007B0C8B">
                <w:rPr>
                  <w:rFonts w:ascii="Calibri" w:eastAsia="Times New Roman" w:hAnsi="Calibri" w:cs="Times New Roman"/>
                  <w:color w:val="0000FF"/>
                  <w:sz w:val="14"/>
                  <w:u w:val="single"/>
                </w:rPr>
                <w:t>https://www.apta.org/MIPS/2018/Measure128/</w:t>
              </w:r>
            </w:hyperlink>
          </w:p>
        </w:tc>
      </w:tr>
      <w:tr w:rsidR="007B0C8B" w:rsidRPr="00055AF7" w14:paraId="44837100" w14:textId="77777777" w:rsidTr="007B0C8B">
        <w:trPr>
          <w:trHeight w:val="300"/>
        </w:trPr>
        <w:tc>
          <w:tcPr>
            <w:tcW w:w="3960" w:type="dxa"/>
            <w:shd w:val="clear" w:color="auto" w:fill="auto"/>
            <w:noWrap/>
            <w:vAlign w:val="bottom"/>
            <w:hideMark/>
          </w:tcPr>
          <w:p w14:paraId="36C26616"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Screening for depression &amp; follow-up plan</w:t>
            </w:r>
          </w:p>
        </w:tc>
        <w:tc>
          <w:tcPr>
            <w:tcW w:w="1389" w:type="dxa"/>
            <w:shd w:val="clear" w:color="auto" w:fill="auto"/>
            <w:noWrap/>
            <w:vAlign w:val="bottom"/>
            <w:hideMark/>
          </w:tcPr>
          <w:p w14:paraId="5AD32F1C"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CMS 2</w:t>
            </w:r>
          </w:p>
        </w:tc>
        <w:tc>
          <w:tcPr>
            <w:tcW w:w="4119" w:type="dxa"/>
            <w:shd w:val="clear" w:color="auto" w:fill="auto"/>
            <w:noWrap/>
            <w:vAlign w:val="bottom"/>
            <w:hideMark/>
          </w:tcPr>
          <w:p w14:paraId="72C32C32"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https://ecqi.healthit.gov/ecqm/measures/cms2v8</w:t>
            </w:r>
          </w:p>
        </w:tc>
      </w:tr>
      <w:tr w:rsidR="007B0C8B" w:rsidRPr="00055AF7" w14:paraId="0AB68A57" w14:textId="77777777" w:rsidTr="007B0C8B">
        <w:trPr>
          <w:trHeight w:val="300"/>
        </w:trPr>
        <w:tc>
          <w:tcPr>
            <w:tcW w:w="3960" w:type="dxa"/>
            <w:shd w:val="clear" w:color="auto" w:fill="auto"/>
            <w:noWrap/>
            <w:vAlign w:val="bottom"/>
            <w:hideMark/>
          </w:tcPr>
          <w:p w14:paraId="0192EA24"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Screening for depression &amp; follow-up plan</w:t>
            </w:r>
          </w:p>
        </w:tc>
        <w:tc>
          <w:tcPr>
            <w:tcW w:w="1389" w:type="dxa"/>
            <w:shd w:val="clear" w:color="auto" w:fill="auto"/>
            <w:noWrap/>
            <w:vAlign w:val="bottom"/>
            <w:hideMark/>
          </w:tcPr>
          <w:p w14:paraId="7C2D1215"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NQF 0418</w:t>
            </w:r>
          </w:p>
        </w:tc>
        <w:tc>
          <w:tcPr>
            <w:tcW w:w="4119" w:type="dxa"/>
            <w:shd w:val="clear" w:color="auto" w:fill="auto"/>
            <w:noWrap/>
            <w:vAlign w:val="bottom"/>
            <w:hideMark/>
          </w:tcPr>
          <w:p w14:paraId="681BB9DF"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https://www.acr.org/-/media/ACR/NOINDEX/Measures/2018_Measure_134_Registry.pdf</w:t>
            </w:r>
          </w:p>
        </w:tc>
      </w:tr>
      <w:tr w:rsidR="007B0C8B" w:rsidRPr="00055AF7" w14:paraId="14CD94DB" w14:textId="77777777" w:rsidTr="007B0C8B">
        <w:trPr>
          <w:trHeight w:val="300"/>
        </w:trPr>
        <w:tc>
          <w:tcPr>
            <w:tcW w:w="3960" w:type="dxa"/>
            <w:shd w:val="clear" w:color="auto" w:fill="auto"/>
            <w:noWrap/>
            <w:vAlign w:val="bottom"/>
            <w:hideMark/>
          </w:tcPr>
          <w:p w14:paraId="17E5D56B"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A1c poor control (&gt;9%)</w:t>
            </w:r>
          </w:p>
        </w:tc>
        <w:tc>
          <w:tcPr>
            <w:tcW w:w="1389" w:type="dxa"/>
            <w:shd w:val="clear" w:color="auto" w:fill="auto"/>
            <w:noWrap/>
            <w:vAlign w:val="bottom"/>
            <w:hideMark/>
          </w:tcPr>
          <w:p w14:paraId="67392AFB"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CMS 122</w:t>
            </w:r>
          </w:p>
        </w:tc>
        <w:tc>
          <w:tcPr>
            <w:tcW w:w="4119" w:type="dxa"/>
            <w:shd w:val="clear" w:color="auto" w:fill="auto"/>
            <w:noWrap/>
            <w:vAlign w:val="bottom"/>
            <w:hideMark/>
          </w:tcPr>
          <w:p w14:paraId="1732D978"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https://ecqi.healthit.gov/ecqm/measures/cms122v7</w:t>
            </w:r>
          </w:p>
        </w:tc>
      </w:tr>
      <w:tr w:rsidR="007B0C8B" w:rsidRPr="00055AF7" w14:paraId="543CD20C" w14:textId="77777777" w:rsidTr="007B0C8B">
        <w:trPr>
          <w:trHeight w:val="300"/>
        </w:trPr>
        <w:tc>
          <w:tcPr>
            <w:tcW w:w="3960" w:type="dxa"/>
            <w:shd w:val="clear" w:color="auto" w:fill="auto"/>
            <w:noWrap/>
            <w:vAlign w:val="bottom"/>
            <w:hideMark/>
          </w:tcPr>
          <w:p w14:paraId="2DD45B3E"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A1c poor control (&gt;9%)</w:t>
            </w:r>
          </w:p>
        </w:tc>
        <w:tc>
          <w:tcPr>
            <w:tcW w:w="1389" w:type="dxa"/>
            <w:shd w:val="clear" w:color="auto" w:fill="auto"/>
            <w:noWrap/>
            <w:vAlign w:val="bottom"/>
            <w:hideMark/>
          </w:tcPr>
          <w:p w14:paraId="46BD3084"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NQF 0059</w:t>
            </w:r>
          </w:p>
        </w:tc>
        <w:tc>
          <w:tcPr>
            <w:tcW w:w="4119" w:type="dxa"/>
            <w:shd w:val="clear" w:color="auto" w:fill="auto"/>
            <w:noWrap/>
            <w:vAlign w:val="bottom"/>
            <w:hideMark/>
          </w:tcPr>
          <w:p w14:paraId="62FB0D5F"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https://www.ncdr.com/WebNCDR/docs/default-source/pinnacle-public-documents/2018_measure_001_registry.pdf?sfvrsn=8</w:t>
            </w:r>
          </w:p>
        </w:tc>
      </w:tr>
      <w:tr w:rsidR="007B0C8B" w:rsidRPr="00055AF7" w14:paraId="54451675" w14:textId="77777777" w:rsidTr="007B0C8B">
        <w:trPr>
          <w:trHeight w:val="300"/>
        </w:trPr>
        <w:tc>
          <w:tcPr>
            <w:tcW w:w="3960" w:type="dxa"/>
            <w:shd w:val="clear" w:color="auto" w:fill="auto"/>
            <w:noWrap/>
            <w:vAlign w:val="bottom"/>
            <w:hideMark/>
          </w:tcPr>
          <w:p w14:paraId="3C52FCB6"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Hypertension blood pressure control</w:t>
            </w:r>
          </w:p>
        </w:tc>
        <w:tc>
          <w:tcPr>
            <w:tcW w:w="1389" w:type="dxa"/>
            <w:shd w:val="clear" w:color="auto" w:fill="auto"/>
            <w:noWrap/>
            <w:vAlign w:val="bottom"/>
            <w:hideMark/>
          </w:tcPr>
          <w:p w14:paraId="56B5B09A"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CMS 165</w:t>
            </w:r>
          </w:p>
        </w:tc>
        <w:tc>
          <w:tcPr>
            <w:tcW w:w="4119" w:type="dxa"/>
            <w:shd w:val="clear" w:color="auto" w:fill="auto"/>
            <w:noWrap/>
            <w:vAlign w:val="bottom"/>
            <w:hideMark/>
          </w:tcPr>
          <w:p w14:paraId="1344DFA9"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https://ecqi.healthit.gov/ecqm/measures/cms165v7</w:t>
            </w:r>
          </w:p>
        </w:tc>
      </w:tr>
      <w:tr w:rsidR="007B0C8B" w:rsidRPr="00055AF7" w14:paraId="209A4C9F" w14:textId="77777777" w:rsidTr="007B0C8B">
        <w:trPr>
          <w:trHeight w:val="300"/>
        </w:trPr>
        <w:tc>
          <w:tcPr>
            <w:tcW w:w="3960" w:type="dxa"/>
            <w:shd w:val="clear" w:color="auto" w:fill="auto"/>
            <w:noWrap/>
            <w:vAlign w:val="bottom"/>
            <w:hideMark/>
          </w:tcPr>
          <w:p w14:paraId="797B6BF4"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Hypertension blood pressure control</w:t>
            </w:r>
          </w:p>
        </w:tc>
        <w:tc>
          <w:tcPr>
            <w:tcW w:w="1389" w:type="dxa"/>
            <w:shd w:val="clear" w:color="auto" w:fill="auto"/>
            <w:noWrap/>
            <w:vAlign w:val="bottom"/>
            <w:hideMark/>
          </w:tcPr>
          <w:p w14:paraId="0EE96D99" w14:textId="77777777"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NQF 0018</w:t>
            </w:r>
          </w:p>
        </w:tc>
        <w:tc>
          <w:tcPr>
            <w:tcW w:w="4119" w:type="dxa"/>
            <w:shd w:val="clear" w:color="auto" w:fill="auto"/>
            <w:noWrap/>
            <w:vAlign w:val="bottom"/>
            <w:hideMark/>
          </w:tcPr>
          <w:p w14:paraId="2C1E4719" w14:textId="77777777" w:rsidR="00055AF7" w:rsidRPr="00055AF7" w:rsidRDefault="00055AF7" w:rsidP="00055AF7">
            <w:pPr>
              <w:spacing w:after="0" w:line="240" w:lineRule="auto"/>
              <w:rPr>
                <w:rFonts w:ascii="Calibri" w:eastAsia="Times New Roman" w:hAnsi="Calibri" w:cs="Times New Roman"/>
                <w:color w:val="000000"/>
                <w:sz w:val="14"/>
              </w:rPr>
            </w:pPr>
            <w:r w:rsidRPr="00055AF7">
              <w:rPr>
                <w:rFonts w:ascii="Calibri" w:eastAsia="Times New Roman" w:hAnsi="Calibri" w:cs="Times New Roman"/>
                <w:color w:val="000000"/>
                <w:sz w:val="14"/>
              </w:rPr>
              <w:t>https://www.acr.org/-/media/ACR/NOINDEX/Measures/2018_Measure_236_Registry.pdf</w:t>
            </w:r>
          </w:p>
        </w:tc>
      </w:tr>
      <w:tr w:rsidR="007B0C8B" w:rsidRPr="00055AF7" w14:paraId="62AE329C" w14:textId="77777777" w:rsidTr="007B0C8B">
        <w:trPr>
          <w:trHeight w:val="300"/>
        </w:trPr>
        <w:tc>
          <w:tcPr>
            <w:tcW w:w="3960" w:type="dxa"/>
            <w:shd w:val="clear" w:color="auto" w:fill="auto"/>
            <w:noWrap/>
            <w:vAlign w:val="bottom"/>
            <w:hideMark/>
          </w:tcPr>
          <w:p w14:paraId="5A7A2EA0" w14:textId="77777777" w:rsidR="00055AF7" w:rsidRPr="00055AF7" w:rsidRDefault="00055AF7" w:rsidP="007B0C8B">
            <w:pPr>
              <w:spacing w:after="0" w:line="240" w:lineRule="auto"/>
              <w:ind w:left="251" w:hanging="251"/>
              <w:rPr>
                <w:rFonts w:ascii="Calibri" w:eastAsia="Times New Roman" w:hAnsi="Calibri" w:cs="Times New Roman"/>
                <w:color w:val="000000"/>
              </w:rPr>
            </w:pPr>
            <w:r w:rsidRPr="00055AF7">
              <w:rPr>
                <w:rFonts w:ascii="Calibri" w:eastAsia="Times New Roman" w:hAnsi="Calibri" w:cs="Times New Roman"/>
                <w:color w:val="000000"/>
              </w:rPr>
              <w:t>Diabetes blood pressure control</w:t>
            </w:r>
          </w:p>
        </w:tc>
        <w:tc>
          <w:tcPr>
            <w:tcW w:w="1389" w:type="dxa"/>
            <w:shd w:val="clear" w:color="auto" w:fill="auto"/>
            <w:noWrap/>
            <w:vAlign w:val="bottom"/>
            <w:hideMark/>
          </w:tcPr>
          <w:p w14:paraId="1C5B992D" w14:textId="41240ABF" w:rsidR="00055AF7" w:rsidRPr="00055AF7" w:rsidRDefault="00055AF7" w:rsidP="00055AF7">
            <w:pPr>
              <w:spacing w:after="0" w:line="240" w:lineRule="auto"/>
              <w:rPr>
                <w:rFonts w:ascii="Calibri" w:eastAsia="Times New Roman" w:hAnsi="Calibri" w:cs="Times New Roman"/>
                <w:color w:val="000000"/>
              </w:rPr>
            </w:pPr>
            <w:r w:rsidRPr="00055AF7">
              <w:rPr>
                <w:rFonts w:ascii="Calibri" w:eastAsia="Times New Roman" w:hAnsi="Calibri" w:cs="Times New Roman"/>
                <w:color w:val="000000"/>
              </w:rPr>
              <w:t>NQF 0061</w:t>
            </w:r>
          </w:p>
        </w:tc>
        <w:tc>
          <w:tcPr>
            <w:tcW w:w="4119" w:type="dxa"/>
            <w:shd w:val="clear" w:color="auto" w:fill="auto"/>
            <w:noWrap/>
            <w:vAlign w:val="bottom"/>
            <w:hideMark/>
          </w:tcPr>
          <w:p w14:paraId="01102027" w14:textId="77777777" w:rsidR="00055AF7" w:rsidRPr="00055AF7" w:rsidRDefault="00055AF7" w:rsidP="00055AF7">
            <w:pPr>
              <w:spacing w:after="0" w:line="240" w:lineRule="auto"/>
              <w:rPr>
                <w:rFonts w:ascii="Calibri" w:eastAsia="Times New Roman" w:hAnsi="Calibri" w:cs="Times New Roman"/>
                <w:color w:val="0000FF"/>
                <w:sz w:val="14"/>
                <w:u w:val="single"/>
              </w:rPr>
            </w:pPr>
            <w:hyperlink r:id="rId14" w:history="1">
              <w:r w:rsidRPr="007B0C8B">
                <w:rPr>
                  <w:rFonts w:ascii="Calibri" w:eastAsia="Times New Roman" w:hAnsi="Calibri" w:cs="Times New Roman"/>
                  <w:color w:val="0000FF"/>
                  <w:sz w:val="14"/>
                  <w:u w:val="single"/>
                </w:rPr>
                <w:t>http://www.qualityforum.org/QPS/MeasureDetails.aspx?standardID=1235&amp;print=0&amp;entityTypeID=1</w:t>
              </w:r>
            </w:hyperlink>
          </w:p>
        </w:tc>
      </w:tr>
    </w:tbl>
    <w:p w14:paraId="6F60132B" w14:textId="77777777" w:rsidR="00896E6C" w:rsidRPr="008B3CF4" w:rsidRDefault="00896E6C" w:rsidP="00896E6C">
      <w:pPr>
        <w:spacing w:before="240"/>
        <w:rPr>
          <w:b/>
          <w:u w:val="single"/>
        </w:rPr>
      </w:pPr>
      <w:bookmarkStart w:id="15" w:name="ReportingChecklist"/>
      <w:bookmarkEnd w:id="15"/>
      <w:r w:rsidRPr="008B3CF4">
        <w:rPr>
          <w:b/>
          <w:u w:val="single"/>
        </w:rPr>
        <w:t xml:space="preserve">PHASE reporting checklist: courtesy of CHCN </w:t>
      </w:r>
      <w:r w:rsidR="008B3CF4">
        <w:rPr>
          <w:b/>
          <w:u w:val="single"/>
        </w:rPr>
        <w:t>(</w:t>
      </w:r>
      <w:r w:rsidR="008B3CF4" w:rsidRPr="008B3CF4">
        <w:rPr>
          <w:b/>
          <w:u w:val="single"/>
        </w:rPr>
        <w:t>https://chcnetwork.org</w:t>
      </w:r>
      <w:r w:rsidR="008B3CF4">
        <w:rPr>
          <w:b/>
          <w:u w:val="single"/>
        </w:rPr>
        <w:t xml:space="preserve">) </w:t>
      </w:r>
    </w:p>
    <w:p w14:paraId="53CC39CD" w14:textId="77777777" w:rsidR="00896E6C" w:rsidRPr="008E4484" w:rsidRDefault="00896E6C" w:rsidP="00896E6C">
      <w:pPr>
        <w:spacing w:after="0"/>
        <w:jc w:val="center"/>
        <w:rPr>
          <w:i/>
        </w:rPr>
      </w:pPr>
      <w:r w:rsidRPr="008E4484">
        <w:rPr>
          <w:i/>
        </w:rPr>
        <w:t>Please use following rules to check numbers in P</w:t>
      </w:r>
      <w:r>
        <w:rPr>
          <w:i/>
        </w:rPr>
        <w:t>HASE report before submitting</w:t>
      </w:r>
      <w:r w:rsidRPr="008E4484">
        <w:rPr>
          <w:i/>
        </w:rPr>
        <w:t xml:space="preserve">. </w:t>
      </w:r>
    </w:p>
    <w:p w14:paraId="5CD25DF0" w14:textId="77777777" w:rsidR="00896E6C" w:rsidRPr="008E4484" w:rsidRDefault="00896E6C" w:rsidP="00896E6C">
      <w:pPr>
        <w:spacing w:after="0"/>
        <w:jc w:val="center"/>
        <w:rPr>
          <w:i/>
        </w:rPr>
      </w:pPr>
      <w:r w:rsidRPr="008E4484">
        <w:rPr>
          <w:i/>
        </w:rPr>
        <w:t>By</w:t>
      </w:r>
      <w:r>
        <w:rPr>
          <w:i/>
        </w:rPr>
        <w:t xml:space="preserve"> doing this, you</w:t>
      </w:r>
      <w:r w:rsidRPr="008E4484">
        <w:rPr>
          <w:i/>
        </w:rPr>
        <w:t xml:space="preserve"> </w:t>
      </w:r>
      <w:r>
        <w:rPr>
          <w:i/>
        </w:rPr>
        <w:t>validate</w:t>
      </w:r>
      <w:r w:rsidRPr="008E4484">
        <w:rPr>
          <w:i/>
        </w:rPr>
        <w:t xml:space="preserve"> the data quality, </w:t>
      </w:r>
      <w:r>
        <w:rPr>
          <w:i/>
        </w:rPr>
        <w:t xml:space="preserve">and </w:t>
      </w:r>
      <w:r w:rsidRPr="008E4484">
        <w:rPr>
          <w:i/>
        </w:rPr>
        <w:t xml:space="preserve">the performance rate </w:t>
      </w:r>
      <w:r>
        <w:rPr>
          <w:i/>
        </w:rPr>
        <w:t>will</w:t>
      </w:r>
      <w:r w:rsidRPr="008E4484">
        <w:rPr>
          <w:i/>
        </w:rPr>
        <w:t xml:space="preserve"> be more </w:t>
      </w:r>
      <w:r>
        <w:rPr>
          <w:i/>
        </w:rPr>
        <w:t>accurate</w:t>
      </w:r>
      <w:r w:rsidRPr="008E4484">
        <w:rPr>
          <w:i/>
        </w:rPr>
        <w:t>.</w:t>
      </w:r>
    </w:p>
    <w:p w14:paraId="0D6AB2AE" w14:textId="77777777" w:rsidR="00896E6C" w:rsidRDefault="00896E6C" w:rsidP="00896E6C">
      <w:pPr>
        <w:spacing w:after="0"/>
        <w:jc w:val="center"/>
      </w:pPr>
    </w:p>
    <w:p w14:paraId="515585AA" w14:textId="77777777" w:rsidR="00896E6C" w:rsidRDefault="00896E6C" w:rsidP="00896E6C">
      <w:pPr>
        <w:rPr>
          <w:b/>
        </w:rPr>
      </w:pPr>
      <w:r>
        <w:rPr>
          <w:b/>
        </w:rPr>
        <w:t>Overall</w:t>
      </w:r>
    </w:p>
    <w:p w14:paraId="58F5BD66" w14:textId="77777777" w:rsidR="00896E6C" w:rsidRPr="0049074A" w:rsidRDefault="00896E6C" w:rsidP="00896E6C">
      <w:pPr>
        <w:pStyle w:val="ListParagraph"/>
        <w:numPr>
          <w:ilvl w:val="0"/>
          <w:numId w:val="16"/>
        </w:numPr>
        <w:spacing w:after="200" w:line="276" w:lineRule="auto"/>
        <w:contextualSpacing/>
      </w:pPr>
      <w:r>
        <w:lastRenderedPageBreak/>
        <w:t>Each measure’s numerator should be smaller than its denominator</w:t>
      </w:r>
    </w:p>
    <w:p w14:paraId="666FC872" w14:textId="77777777" w:rsidR="00896E6C" w:rsidRPr="008E4484" w:rsidRDefault="00896E6C" w:rsidP="00896E6C">
      <w:pPr>
        <w:rPr>
          <w:b/>
        </w:rPr>
      </w:pPr>
      <w:r w:rsidRPr="008E4484">
        <w:rPr>
          <w:b/>
        </w:rPr>
        <w:t>Patient population</w:t>
      </w:r>
    </w:p>
    <w:p w14:paraId="6969A7CF" w14:textId="7D5E9B86" w:rsidR="00896E6C" w:rsidRDefault="00896E6C" w:rsidP="00896E6C">
      <w:pPr>
        <w:pStyle w:val="ListParagraph"/>
        <w:numPr>
          <w:ilvl w:val="0"/>
          <w:numId w:val="11"/>
        </w:numPr>
        <w:spacing w:after="200" w:line="276" w:lineRule="auto"/>
        <w:contextualSpacing/>
      </w:pPr>
      <w:r>
        <w:t>Total unduplicated patients (row 1</w:t>
      </w:r>
      <w:r w:rsidR="00443AE2">
        <w:t>9</w:t>
      </w:r>
      <w:r>
        <w:t xml:space="preserve">) should be greater than each of diabetes/ ASCVD/ hypertension patient populations separately (rows </w:t>
      </w:r>
      <w:r w:rsidR="00443AE2">
        <w:t>16, 17, 18</w:t>
      </w:r>
      <w:r>
        <w:t>)</w:t>
      </w:r>
    </w:p>
    <w:p w14:paraId="1557ADB5" w14:textId="5E3C44A0" w:rsidR="00896E6C" w:rsidRDefault="00896E6C" w:rsidP="00896E6C">
      <w:pPr>
        <w:pStyle w:val="ListParagraph"/>
        <w:numPr>
          <w:ilvl w:val="0"/>
          <w:numId w:val="11"/>
        </w:numPr>
        <w:spacing w:after="200" w:line="276" w:lineRule="auto"/>
        <w:contextualSpacing/>
      </w:pPr>
      <w:r>
        <w:t xml:space="preserve">The sum of diabetes/ASCVD/hypertension patients (row </w:t>
      </w:r>
      <w:r w:rsidR="00443AE2">
        <w:t>16, 17, 18</w:t>
      </w:r>
      <w:r>
        <w:t>) should be greater th</w:t>
      </w:r>
      <w:r w:rsidR="00443AE2">
        <w:t>an unduplicated patients (row 19</w:t>
      </w:r>
      <w:r>
        <w:t>)</w:t>
      </w:r>
    </w:p>
    <w:p w14:paraId="5FAFB5BE" w14:textId="77777777" w:rsidR="00896E6C" w:rsidRPr="008E4484" w:rsidRDefault="00896E6C" w:rsidP="00896E6C">
      <w:pPr>
        <w:rPr>
          <w:b/>
        </w:rPr>
      </w:pPr>
      <w:r w:rsidRPr="008E4484">
        <w:rPr>
          <w:b/>
        </w:rPr>
        <w:t>Prescription</w:t>
      </w:r>
    </w:p>
    <w:p w14:paraId="72DC34AE" w14:textId="634E659E" w:rsidR="00896E6C" w:rsidRDefault="00896E6C" w:rsidP="00896E6C">
      <w:pPr>
        <w:pStyle w:val="ListParagraph"/>
        <w:numPr>
          <w:ilvl w:val="0"/>
          <w:numId w:val="12"/>
        </w:numPr>
        <w:spacing w:after="200" w:line="276" w:lineRule="auto"/>
        <w:contextualSpacing/>
      </w:pPr>
      <w:r>
        <w:t xml:space="preserve">Diabetes </w:t>
      </w:r>
      <w:r w:rsidR="00443AE2">
        <w:t xml:space="preserve">prescription </w:t>
      </w:r>
      <w:r>
        <w:t>denominator (row</w:t>
      </w:r>
      <w:r w:rsidR="00443AE2">
        <w:t>s</w:t>
      </w:r>
      <w:r>
        <w:t xml:space="preserve"> </w:t>
      </w:r>
      <w:r w:rsidR="00443AE2">
        <w:t>23, 25, 27</w:t>
      </w:r>
      <w:r>
        <w:t>; age 55-75) should be smaller than diabetes population (row 1</w:t>
      </w:r>
      <w:r w:rsidR="00443AE2">
        <w:t>6</w:t>
      </w:r>
      <w:r>
        <w:t>; age 18-75)</w:t>
      </w:r>
    </w:p>
    <w:p w14:paraId="04DDDE51" w14:textId="33DAA90C" w:rsidR="00896E6C" w:rsidRDefault="00896E6C" w:rsidP="00896E6C">
      <w:pPr>
        <w:pStyle w:val="ListParagraph"/>
        <w:numPr>
          <w:ilvl w:val="0"/>
          <w:numId w:val="12"/>
        </w:numPr>
        <w:spacing w:after="200" w:line="276" w:lineRule="auto"/>
        <w:contextualSpacing/>
      </w:pPr>
      <w:r>
        <w:t xml:space="preserve">Three diabetes </w:t>
      </w:r>
      <w:r w:rsidR="00443AE2">
        <w:t xml:space="preserve">prescription </w:t>
      </w:r>
      <w:r>
        <w:t>denominators should be the same (row</w:t>
      </w:r>
      <w:r w:rsidR="00443AE2">
        <w:t>s 23, 25, 27</w:t>
      </w:r>
      <w:r>
        <w:t>)</w:t>
      </w:r>
    </w:p>
    <w:p w14:paraId="4EA67A81" w14:textId="3CFCA429" w:rsidR="00896E6C" w:rsidRDefault="00896E6C" w:rsidP="00896E6C">
      <w:pPr>
        <w:pStyle w:val="ListParagraph"/>
        <w:numPr>
          <w:ilvl w:val="0"/>
          <w:numId w:val="12"/>
        </w:numPr>
        <w:spacing w:after="200" w:line="276" w:lineRule="auto"/>
        <w:contextualSpacing/>
      </w:pPr>
      <w:r>
        <w:t>Diabetes stat</w:t>
      </w:r>
      <w:r w:rsidR="00443AE2">
        <w:t>in and ACE/ARB numerator (row 26</w:t>
      </w:r>
      <w:r>
        <w:t xml:space="preserve">) should be smaller than diabetes statin numerator (row </w:t>
      </w:r>
      <w:r w:rsidR="00443AE2">
        <w:t>22</w:t>
      </w:r>
      <w:r>
        <w:t>) and diabetes ACE/ARB numerator (row 2</w:t>
      </w:r>
      <w:r w:rsidR="00443AE2">
        <w:t>4</w:t>
      </w:r>
      <w:r>
        <w:t xml:space="preserve">) separately </w:t>
      </w:r>
    </w:p>
    <w:p w14:paraId="63B67FBA" w14:textId="10348F51" w:rsidR="00896E6C" w:rsidRDefault="00896E6C" w:rsidP="00896E6C">
      <w:pPr>
        <w:pStyle w:val="ListParagraph"/>
        <w:numPr>
          <w:ilvl w:val="0"/>
          <w:numId w:val="12"/>
        </w:numPr>
        <w:spacing w:after="200" w:line="276" w:lineRule="auto"/>
        <w:contextualSpacing/>
      </w:pPr>
      <w:r>
        <w:t xml:space="preserve">Hypertension </w:t>
      </w:r>
      <w:r w:rsidR="00443AE2">
        <w:t xml:space="preserve">prescription </w:t>
      </w:r>
      <w:r>
        <w:t>denominator (row 2</w:t>
      </w:r>
      <w:r w:rsidR="00443AE2">
        <w:t>9</w:t>
      </w:r>
      <w:r>
        <w:t>) should be the same as hypertension population (row 1</w:t>
      </w:r>
      <w:r w:rsidR="00443AE2">
        <w:t>8</w:t>
      </w:r>
      <w:r>
        <w:t>)</w:t>
      </w:r>
    </w:p>
    <w:p w14:paraId="28AEE1A6" w14:textId="77777777" w:rsidR="00443AE2" w:rsidRPr="0049074A" w:rsidRDefault="00443AE2" w:rsidP="00443AE2">
      <w:pPr>
        <w:rPr>
          <w:b/>
        </w:rPr>
      </w:pPr>
      <w:r w:rsidRPr="0049074A">
        <w:rPr>
          <w:b/>
        </w:rPr>
        <w:t>Screening and follow-up</w:t>
      </w:r>
    </w:p>
    <w:p w14:paraId="581372B9" w14:textId="77777777" w:rsidR="00443AE2" w:rsidRDefault="00443AE2" w:rsidP="00443AE2">
      <w:pPr>
        <w:pStyle w:val="ListParagraph"/>
        <w:numPr>
          <w:ilvl w:val="0"/>
          <w:numId w:val="15"/>
        </w:numPr>
        <w:spacing w:after="200" w:line="276" w:lineRule="auto"/>
        <w:contextualSpacing/>
      </w:pPr>
      <w:r>
        <w:t>Screening and follow-up denominators (row 34, 36, 38, 40, 42) should be greater than unduplicated patients (row 19)</w:t>
      </w:r>
    </w:p>
    <w:p w14:paraId="7D24FFBD" w14:textId="31658FCC" w:rsidR="00443AE2" w:rsidRDefault="00443AE2" w:rsidP="00443AE2">
      <w:pPr>
        <w:pStyle w:val="ListParagraph"/>
        <w:numPr>
          <w:ilvl w:val="0"/>
          <w:numId w:val="15"/>
        </w:numPr>
        <w:spacing w:after="200" w:line="276" w:lineRule="auto"/>
        <w:contextualSpacing/>
      </w:pPr>
      <w:r>
        <w:t>Generally, depression denominator (row 42) should be greater than the denominators of BMI and tobacco (rows 38, 40)</w:t>
      </w:r>
    </w:p>
    <w:p w14:paraId="6B4EECBE" w14:textId="77777777" w:rsidR="00896E6C" w:rsidRPr="008E4484" w:rsidRDefault="00896E6C" w:rsidP="00896E6C">
      <w:pPr>
        <w:rPr>
          <w:b/>
        </w:rPr>
      </w:pPr>
      <w:r w:rsidRPr="008E4484">
        <w:rPr>
          <w:b/>
        </w:rPr>
        <w:t>Clinical quality</w:t>
      </w:r>
    </w:p>
    <w:p w14:paraId="4DDD1D9F" w14:textId="2216C0AD" w:rsidR="00896E6C" w:rsidRDefault="00896E6C" w:rsidP="00896E6C">
      <w:pPr>
        <w:pStyle w:val="ListParagraph"/>
        <w:numPr>
          <w:ilvl w:val="0"/>
          <w:numId w:val="13"/>
        </w:numPr>
        <w:spacing w:after="200" w:line="276" w:lineRule="auto"/>
        <w:contextualSpacing/>
      </w:pPr>
      <w:r>
        <w:t>Diabetes denominators (row</w:t>
      </w:r>
      <w:r w:rsidR="00443AE2">
        <w:t>s</w:t>
      </w:r>
      <w:r>
        <w:t xml:space="preserve"> </w:t>
      </w:r>
      <w:r w:rsidR="00443AE2">
        <w:t>46, 48</w:t>
      </w:r>
      <w:r>
        <w:t>) should be equal to diabete</w:t>
      </w:r>
      <w:r w:rsidR="00443AE2">
        <w:t>s population (row 16</w:t>
      </w:r>
      <w:r>
        <w:t>)</w:t>
      </w:r>
    </w:p>
    <w:p w14:paraId="36C64C7B" w14:textId="3D1363AD" w:rsidR="00896E6C" w:rsidRDefault="00443AE2" w:rsidP="00896E6C">
      <w:pPr>
        <w:pStyle w:val="ListParagraph"/>
        <w:numPr>
          <w:ilvl w:val="0"/>
          <w:numId w:val="13"/>
        </w:numPr>
        <w:spacing w:after="200" w:line="276" w:lineRule="auto"/>
        <w:contextualSpacing/>
      </w:pPr>
      <w:r>
        <w:t>Hypertension denominator (row 50</w:t>
      </w:r>
      <w:r w:rsidR="00896E6C">
        <w:t>) should be equal to</w:t>
      </w:r>
      <w:r>
        <w:t xml:space="preserve"> hypertension population (row 18</w:t>
      </w:r>
      <w:r w:rsidR="00896E6C">
        <w:t>)</w:t>
      </w:r>
    </w:p>
    <w:p w14:paraId="37D7600B" w14:textId="77777777" w:rsidR="00896E6C" w:rsidRPr="00587056" w:rsidRDefault="00896E6C" w:rsidP="00896E6C">
      <w:pPr>
        <w:rPr>
          <w:b/>
        </w:rPr>
      </w:pPr>
      <w:r w:rsidRPr="00587056">
        <w:rPr>
          <w:b/>
        </w:rPr>
        <w:t>Compare with last quarter data</w:t>
      </w:r>
    </w:p>
    <w:p w14:paraId="5C8C5425" w14:textId="77777777" w:rsidR="00896E6C" w:rsidRDefault="00896E6C" w:rsidP="00896E6C">
      <w:pPr>
        <w:spacing w:after="0"/>
        <w:ind w:firstLine="360"/>
      </w:pPr>
      <w:r>
        <w:t>If the difference is more than 10%, think of…</w:t>
      </w:r>
    </w:p>
    <w:p w14:paraId="0E84FA98" w14:textId="77777777" w:rsidR="00896E6C" w:rsidRDefault="00896E6C" w:rsidP="00896E6C">
      <w:pPr>
        <w:pStyle w:val="ListParagraph"/>
        <w:numPr>
          <w:ilvl w:val="0"/>
          <w:numId w:val="14"/>
        </w:numPr>
        <w:spacing w:line="276" w:lineRule="auto"/>
        <w:ind w:left="720"/>
        <w:contextualSpacing/>
      </w:pPr>
      <w:r>
        <w:t>Have you done anything differently from data side?</w:t>
      </w:r>
    </w:p>
    <w:p w14:paraId="1E8E42F5" w14:textId="77777777" w:rsidR="00896E6C" w:rsidRDefault="00896E6C" w:rsidP="00896E6C">
      <w:pPr>
        <w:pStyle w:val="ListParagraph"/>
        <w:numPr>
          <w:ilvl w:val="0"/>
          <w:numId w:val="14"/>
        </w:numPr>
        <w:spacing w:line="276" w:lineRule="auto"/>
        <w:ind w:left="720"/>
        <w:contextualSpacing/>
      </w:pPr>
      <w:r>
        <w:t>Has your clinic done anything differently in terms of clinical practice?</w:t>
      </w:r>
    </w:p>
    <w:p w14:paraId="52AB6B26" w14:textId="77777777" w:rsidR="00896E6C" w:rsidRDefault="00896E6C" w:rsidP="00896E6C">
      <w:pPr>
        <w:pStyle w:val="ListParagraph"/>
        <w:numPr>
          <w:ilvl w:val="0"/>
          <w:numId w:val="14"/>
        </w:numPr>
        <w:spacing w:line="276" w:lineRule="auto"/>
        <w:ind w:left="720"/>
        <w:contextualSpacing/>
      </w:pPr>
      <w:r>
        <w:t>Have data definitions changed?</w:t>
      </w:r>
    </w:p>
    <w:p w14:paraId="153A68D9" w14:textId="77777777" w:rsidR="00896E6C" w:rsidRDefault="00896E6C" w:rsidP="00896E6C">
      <w:pPr>
        <w:pStyle w:val="ListParagraph"/>
        <w:numPr>
          <w:ilvl w:val="0"/>
          <w:numId w:val="14"/>
        </w:numPr>
        <w:spacing w:line="276" w:lineRule="auto"/>
        <w:ind w:left="720"/>
        <w:contextualSpacing/>
      </w:pPr>
      <w:r>
        <w:t>Any other things that might cause this?</w:t>
      </w:r>
    </w:p>
    <w:p w14:paraId="7CD510B7" w14:textId="77777777" w:rsidR="006B18E4" w:rsidRPr="00896E6C" w:rsidRDefault="006B18E4" w:rsidP="006B18E4">
      <w:pPr>
        <w:spacing w:before="240"/>
        <w:contextualSpacing/>
      </w:pPr>
      <w:r>
        <w:t>Thanks to the CHCN team for providing their data reporting check-list!</w:t>
      </w:r>
    </w:p>
    <w:sectPr w:rsidR="006B18E4" w:rsidRPr="00896E6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9EE4" w14:textId="77777777" w:rsidR="00C85562" w:rsidRDefault="00C85562" w:rsidP="00C85562">
      <w:pPr>
        <w:spacing w:after="0" w:line="240" w:lineRule="auto"/>
      </w:pPr>
      <w:r>
        <w:separator/>
      </w:r>
    </w:p>
  </w:endnote>
  <w:endnote w:type="continuationSeparator" w:id="0">
    <w:p w14:paraId="6A8E4595" w14:textId="77777777" w:rsidR="00C85562" w:rsidRDefault="00C85562" w:rsidP="00C8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464499778"/>
      <w:docPartObj>
        <w:docPartGallery w:val="Page Numbers (Bottom of Page)"/>
        <w:docPartUnique/>
      </w:docPartObj>
    </w:sdtPr>
    <w:sdtEndPr/>
    <w:sdtContent>
      <w:p w14:paraId="5F494AE0" w14:textId="77777777" w:rsidR="00722C6A" w:rsidRDefault="00C85562" w:rsidP="00722C6A">
        <w:pPr>
          <w:pStyle w:val="Footer"/>
          <w:pBdr>
            <w:top w:val="single" w:sz="4" w:space="1" w:color="D9D9D9" w:themeColor="background1" w:themeShade="D9"/>
          </w:pBdr>
          <w:tabs>
            <w:tab w:val="left" w:pos="0"/>
          </w:tabs>
          <w:spacing w:after="60"/>
          <w:jc w:val="right"/>
          <w:rPr>
            <w:color w:val="808080" w:themeColor="background1" w:themeShade="80"/>
            <w:spacing w:val="60"/>
            <w:sz w:val="18"/>
          </w:rPr>
        </w:pPr>
        <w:r w:rsidRPr="00054F1D">
          <w:rPr>
            <w:sz w:val="18"/>
          </w:rPr>
          <w:t xml:space="preserve">Center for Community Health and Evaluation | </w:t>
        </w:r>
        <w:hyperlink r:id="rId1" w:history="1">
          <w:r w:rsidRPr="00054F1D">
            <w:rPr>
              <w:rStyle w:val="Hyperlink"/>
              <w:sz w:val="18"/>
            </w:rPr>
            <w:t>www.cche.org</w:t>
          </w:r>
        </w:hyperlink>
        <w:r w:rsidRPr="00054F1D">
          <w:rPr>
            <w:sz w:val="18"/>
          </w:rPr>
          <w:t xml:space="preserve"> </w:t>
        </w:r>
        <w:r w:rsidRPr="00054F1D">
          <w:rPr>
            <w:sz w:val="18"/>
          </w:rPr>
          <w:tab/>
        </w:r>
        <w:r>
          <w:rPr>
            <w:sz w:val="18"/>
          </w:rPr>
          <w:tab/>
        </w:r>
        <w:r w:rsidRPr="00054F1D">
          <w:rPr>
            <w:sz w:val="18"/>
          </w:rPr>
          <w:fldChar w:fldCharType="begin"/>
        </w:r>
        <w:r w:rsidRPr="00054F1D">
          <w:rPr>
            <w:sz w:val="18"/>
          </w:rPr>
          <w:instrText xml:space="preserve"> PAGE   \* MERGEFORMAT </w:instrText>
        </w:r>
        <w:r w:rsidRPr="00054F1D">
          <w:rPr>
            <w:sz w:val="18"/>
          </w:rPr>
          <w:fldChar w:fldCharType="separate"/>
        </w:r>
        <w:r w:rsidR="00FB2D1C">
          <w:rPr>
            <w:noProof/>
            <w:sz w:val="18"/>
          </w:rPr>
          <w:t>5</w:t>
        </w:r>
        <w:r w:rsidRPr="00054F1D">
          <w:rPr>
            <w:noProof/>
            <w:sz w:val="18"/>
          </w:rPr>
          <w:fldChar w:fldCharType="end"/>
        </w:r>
        <w:r w:rsidRPr="00054F1D">
          <w:rPr>
            <w:sz w:val="18"/>
          </w:rPr>
          <w:t xml:space="preserve"> | </w:t>
        </w:r>
        <w:r w:rsidRPr="00054F1D">
          <w:rPr>
            <w:color w:val="808080" w:themeColor="background1" w:themeShade="80"/>
            <w:spacing w:val="60"/>
            <w:sz w:val="18"/>
          </w:rPr>
          <w:t>Page</w:t>
        </w:r>
      </w:p>
      <w:p w14:paraId="19CA4C51" w14:textId="77777777" w:rsidR="00C85562" w:rsidRPr="00C85562" w:rsidRDefault="00722C6A" w:rsidP="00C85562">
        <w:pPr>
          <w:pStyle w:val="Footer"/>
          <w:pBdr>
            <w:top w:val="single" w:sz="4" w:space="1" w:color="D9D9D9" w:themeColor="background1" w:themeShade="D9"/>
          </w:pBdr>
          <w:tabs>
            <w:tab w:val="left" w:pos="0"/>
          </w:tabs>
          <w:jc w:val="right"/>
          <w:rPr>
            <w:sz w:val="18"/>
          </w:rPr>
        </w:pPr>
        <w:r w:rsidRPr="00722C6A">
          <w:rPr>
            <w:sz w:val="18"/>
          </w:rPr>
          <w:t xml:space="preserve">Back to </w:t>
        </w:r>
        <w:hyperlink w:anchor="Contents" w:history="1">
          <w:r w:rsidRPr="00722C6A">
            <w:rPr>
              <w:rStyle w:val="Hyperlink"/>
              <w:sz w:val="18"/>
            </w:rPr>
            <w:t>table o</w:t>
          </w:r>
          <w:r w:rsidRPr="00722C6A">
            <w:rPr>
              <w:rStyle w:val="Hyperlink"/>
              <w:sz w:val="18"/>
            </w:rPr>
            <w:t>f</w:t>
          </w:r>
          <w:r w:rsidRPr="00722C6A">
            <w:rPr>
              <w:rStyle w:val="Hyperlink"/>
              <w:sz w:val="18"/>
            </w:rPr>
            <w:t xml:space="preserve"> </w:t>
          </w:r>
          <w:r w:rsidRPr="00722C6A">
            <w:rPr>
              <w:rStyle w:val="Hyperlink"/>
              <w:sz w:val="18"/>
            </w:rPr>
            <w:t>c</w:t>
          </w:r>
          <w:r w:rsidRPr="00722C6A">
            <w:rPr>
              <w:rStyle w:val="Hyperlink"/>
              <w:sz w:val="18"/>
            </w:rPr>
            <w:t>o</w:t>
          </w:r>
          <w:r w:rsidRPr="00722C6A">
            <w:rPr>
              <w:rStyle w:val="Hyperlink"/>
              <w:sz w:val="18"/>
            </w:rPr>
            <w:t>n</w:t>
          </w:r>
          <w:r w:rsidRPr="00722C6A">
            <w:rPr>
              <w:rStyle w:val="Hyperlink"/>
              <w:sz w:val="18"/>
            </w:rPr>
            <w:t>t</w:t>
          </w:r>
          <w:r w:rsidRPr="00722C6A">
            <w:rPr>
              <w:rStyle w:val="Hyperlink"/>
              <w:sz w:val="18"/>
            </w:rPr>
            <w:t>ents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4CE5" w14:textId="77777777" w:rsidR="00C85562" w:rsidRDefault="00C85562" w:rsidP="00C85562">
      <w:pPr>
        <w:spacing w:after="0" w:line="240" w:lineRule="auto"/>
      </w:pPr>
      <w:r>
        <w:separator/>
      </w:r>
    </w:p>
  </w:footnote>
  <w:footnote w:type="continuationSeparator" w:id="0">
    <w:p w14:paraId="7A3F39CB" w14:textId="77777777" w:rsidR="00C85562" w:rsidRDefault="00C85562" w:rsidP="00C8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6DA6"/>
    <w:multiLevelType w:val="hybridMultilevel"/>
    <w:tmpl w:val="BCA69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61DA"/>
    <w:multiLevelType w:val="hybridMultilevel"/>
    <w:tmpl w:val="00EC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6553"/>
    <w:multiLevelType w:val="hybridMultilevel"/>
    <w:tmpl w:val="4FB8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E51CF"/>
    <w:multiLevelType w:val="hybridMultilevel"/>
    <w:tmpl w:val="56067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C63C13"/>
    <w:multiLevelType w:val="hybridMultilevel"/>
    <w:tmpl w:val="A774A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4B52"/>
    <w:multiLevelType w:val="hybridMultilevel"/>
    <w:tmpl w:val="8842B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1E99"/>
    <w:multiLevelType w:val="hybridMultilevel"/>
    <w:tmpl w:val="6C4AEDC4"/>
    <w:lvl w:ilvl="0" w:tplc="72B87F26">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8782E"/>
    <w:multiLevelType w:val="hybridMultilevel"/>
    <w:tmpl w:val="A774A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D1E19"/>
    <w:multiLevelType w:val="hybridMultilevel"/>
    <w:tmpl w:val="E84A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55039"/>
    <w:multiLevelType w:val="hybridMultilevel"/>
    <w:tmpl w:val="2BF0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333A7"/>
    <w:multiLevelType w:val="hybridMultilevel"/>
    <w:tmpl w:val="7652A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05876"/>
    <w:multiLevelType w:val="multilevel"/>
    <w:tmpl w:val="D882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8A5C3F"/>
    <w:multiLevelType w:val="hybridMultilevel"/>
    <w:tmpl w:val="16CCF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C70A4"/>
    <w:multiLevelType w:val="hybridMultilevel"/>
    <w:tmpl w:val="A774A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E20F8"/>
    <w:multiLevelType w:val="hybridMultilevel"/>
    <w:tmpl w:val="79E8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D76D3"/>
    <w:multiLevelType w:val="hybridMultilevel"/>
    <w:tmpl w:val="67DAA5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4049EA"/>
    <w:multiLevelType w:val="hybridMultilevel"/>
    <w:tmpl w:val="31E20AF2"/>
    <w:lvl w:ilvl="0" w:tplc="70E80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A46E9A"/>
    <w:multiLevelType w:val="multilevel"/>
    <w:tmpl w:val="D73CD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3"/>
  </w:num>
  <w:num w:numId="3">
    <w:abstractNumId w:val="5"/>
  </w:num>
  <w:num w:numId="4">
    <w:abstractNumId w:val="11"/>
  </w:num>
  <w:num w:numId="5">
    <w:abstractNumId w:val="13"/>
  </w:num>
  <w:num w:numId="6">
    <w:abstractNumId w:val="7"/>
  </w:num>
  <w:num w:numId="7">
    <w:abstractNumId w:val="4"/>
  </w:num>
  <w:num w:numId="8">
    <w:abstractNumId w:val="0"/>
  </w:num>
  <w:num w:numId="9">
    <w:abstractNumId w:val="10"/>
  </w:num>
  <w:num w:numId="10">
    <w:abstractNumId w:val="6"/>
  </w:num>
  <w:num w:numId="11">
    <w:abstractNumId w:val="8"/>
  </w:num>
  <w:num w:numId="12">
    <w:abstractNumId w:val="14"/>
  </w:num>
  <w:num w:numId="13">
    <w:abstractNumId w:val="1"/>
  </w:num>
  <w:num w:numId="14">
    <w:abstractNumId w:val="16"/>
  </w:num>
  <w:num w:numId="15">
    <w:abstractNumId w:val="2"/>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D02"/>
    <w:rsid w:val="00010D88"/>
    <w:rsid w:val="00037BD8"/>
    <w:rsid w:val="00055AF7"/>
    <w:rsid w:val="000D3DB9"/>
    <w:rsid w:val="00112126"/>
    <w:rsid w:val="00141E97"/>
    <w:rsid w:val="001457F1"/>
    <w:rsid w:val="00146EAB"/>
    <w:rsid w:val="001C0058"/>
    <w:rsid w:val="001C0150"/>
    <w:rsid w:val="00206BC5"/>
    <w:rsid w:val="002725FD"/>
    <w:rsid w:val="00273F8A"/>
    <w:rsid w:val="00297ADF"/>
    <w:rsid w:val="002A0126"/>
    <w:rsid w:val="002E3BDE"/>
    <w:rsid w:val="00307D02"/>
    <w:rsid w:val="00365462"/>
    <w:rsid w:val="003801CF"/>
    <w:rsid w:val="00387BDE"/>
    <w:rsid w:val="003D13B2"/>
    <w:rsid w:val="00443AE2"/>
    <w:rsid w:val="0047710C"/>
    <w:rsid w:val="004A0028"/>
    <w:rsid w:val="004F18CA"/>
    <w:rsid w:val="00500435"/>
    <w:rsid w:val="00515A2D"/>
    <w:rsid w:val="0055000E"/>
    <w:rsid w:val="00594981"/>
    <w:rsid w:val="00623496"/>
    <w:rsid w:val="00673600"/>
    <w:rsid w:val="006B0FFB"/>
    <w:rsid w:val="006B18E4"/>
    <w:rsid w:val="00722C6A"/>
    <w:rsid w:val="00734987"/>
    <w:rsid w:val="00742978"/>
    <w:rsid w:val="00773F4F"/>
    <w:rsid w:val="007B0C8B"/>
    <w:rsid w:val="007D46B4"/>
    <w:rsid w:val="00813628"/>
    <w:rsid w:val="00821C71"/>
    <w:rsid w:val="0084473B"/>
    <w:rsid w:val="00896E6C"/>
    <w:rsid w:val="008A3AD3"/>
    <w:rsid w:val="008B3CF4"/>
    <w:rsid w:val="008C051B"/>
    <w:rsid w:val="008D3196"/>
    <w:rsid w:val="008F47F0"/>
    <w:rsid w:val="009131A1"/>
    <w:rsid w:val="00921FD8"/>
    <w:rsid w:val="00942549"/>
    <w:rsid w:val="0095064A"/>
    <w:rsid w:val="00954541"/>
    <w:rsid w:val="00954C31"/>
    <w:rsid w:val="009954FD"/>
    <w:rsid w:val="009D0CF7"/>
    <w:rsid w:val="00A24314"/>
    <w:rsid w:val="00A54F86"/>
    <w:rsid w:val="00AA270F"/>
    <w:rsid w:val="00AF35B6"/>
    <w:rsid w:val="00B127E8"/>
    <w:rsid w:val="00B53E71"/>
    <w:rsid w:val="00B561F2"/>
    <w:rsid w:val="00BA1018"/>
    <w:rsid w:val="00C23A41"/>
    <w:rsid w:val="00C85562"/>
    <w:rsid w:val="00C95E97"/>
    <w:rsid w:val="00CA508B"/>
    <w:rsid w:val="00CD6A17"/>
    <w:rsid w:val="00CE203F"/>
    <w:rsid w:val="00CF22E5"/>
    <w:rsid w:val="00CF64F6"/>
    <w:rsid w:val="00D44D32"/>
    <w:rsid w:val="00D55F2F"/>
    <w:rsid w:val="00DB65BC"/>
    <w:rsid w:val="00E56922"/>
    <w:rsid w:val="00E924F2"/>
    <w:rsid w:val="00E95165"/>
    <w:rsid w:val="00EE4DE3"/>
    <w:rsid w:val="00F25CFB"/>
    <w:rsid w:val="00F81010"/>
    <w:rsid w:val="00F8608B"/>
    <w:rsid w:val="00FB2D1C"/>
    <w:rsid w:val="00FB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6CB6"/>
  <w15:docId w15:val="{42ADFC03-734D-4F66-B4D2-1B2A30AB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ADF"/>
  </w:style>
  <w:style w:type="paragraph" w:styleId="Heading1">
    <w:name w:val="heading 1"/>
    <w:basedOn w:val="Normal"/>
    <w:next w:val="Normal"/>
    <w:link w:val="Heading1Char"/>
    <w:uiPriority w:val="9"/>
    <w:qFormat/>
    <w:rsid w:val="00297ADF"/>
    <w:pPr>
      <w:keepNext/>
      <w:keepLines/>
      <w:spacing w:before="480" w:after="0"/>
      <w:outlineLvl w:val="0"/>
    </w:pPr>
    <w:rPr>
      <w:rFonts w:asciiTheme="majorHAnsi" w:eastAsiaTheme="majorEastAsia" w:hAnsiTheme="majorHAnsi" w:cstheme="majorBidi"/>
      <w:b/>
      <w:bCs/>
      <w:color w:val="E27F2E" w:themeColor="accent2"/>
      <w:sz w:val="36"/>
      <w:szCs w:val="28"/>
    </w:rPr>
  </w:style>
  <w:style w:type="paragraph" w:styleId="Heading2">
    <w:name w:val="heading 2"/>
    <w:basedOn w:val="Normal"/>
    <w:next w:val="Normal"/>
    <w:link w:val="Heading2Char"/>
    <w:uiPriority w:val="9"/>
    <w:unhideWhenUsed/>
    <w:qFormat/>
    <w:rsid w:val="00297ADF"/>
    <w:pPr>
      <w:keepNext/>
      <w:keepLines/>
      <w:spacing w:before="200" w:after="0"/>
      <w:outlineLvl w:val="1"/>
    </w:pPr>
    <w:rPr>
      <w:rFonts w:eastAsiaTheme="majorEastAsia" w:cstheme="majorBidi"/>
      <w:b/>
      <w:bCs/>
      <w:color w:val="0075B9" w:themeColor="accent1"/>
      <w:sz w:val="28"/>
      <w:szCs w:val="26"/>
    </w:rPr>
  </w:style>
  <w:style w:type="paragraph" w:styleId="Heading3">
    <w:name w:val="heading 3"/>
    <w:basedOn w:val="Normal"/>
    <w:next w:val="Normal"/>
    <w:link w:val="Heading3Char"/>
    <w:uiPriority w:val="9"/>
    <w:unhideWhenUsed/>
    <w:qFormat/>
    <w:rsid w:val="00297ADF"/>
    <w:pPr>
      <w:keepNext/>
      <w:keepLines/>
      <w:spacing w:before="200" w:after="0"/>
      <w:outlineLvl w:val="2"/>
    </w:pPr>
    <w:rPr>
      <w:rFonts w:eastAsiaTheme="majorEastAsia" w:cstheme="majorBidi"/>
      <w:b/>
      <w:bCs/>
      <w:color w:val="89B71B" w:themeColor="accent4"/>
      <w:sz w:val="24"/>
    </w:rPr>
  </w:style>
  <w:style w:type="paragraph" w:styleId="Heading4">
    <w:name w:val="heading 4"/>
    <w:basedOn w:val="Normal"/>
    <w:next w:val="Normal"/>
    <w:link w:val="Heading4Char"/>
    <w:uiPriority w:val="9"/>
    <w:unhideWhenUsed/>
    <w:qFormat/>
    <w:rsid w:val="00297ADF"/>
    <w:pPr>
      <w:keepNext/>
      <w:keepLines/>
      <w:spacing w:before="200" w:after="0"/>
      <w:outlineLvl w:val="3"/>
    </w:pPr>
    <w:rPr>
      <w:rFonts w:asciiTheme="majorHAnsi" w:eastAsiaTheme="majorEastAsia" w:hAnsiTheme="majorHAnsi" w:cstheme="majorBidi"/>
      <w:b/>
      <w:bCs/>
      <w:i/>
      <w:iCs/>
      <w:color w:val="0075B9" w:themeColor="accent1"/>
    </w:rPr>
  </w:style>
  <w:style w:type="paragraph" w:styleId="Heading5">
    <w:name w:val="heading 5"/>
    <w:basedOn w:val="Normal"/>
    <w:next w:val="Normal"/>
    <w:link w:val="Heading5Char"/>
    <w:uiPriority w:val="9"/>
    <w:semiHidden/>
    <w:unhideWhenUsed/>
    <w:qFormat/>
    <w:rsid w:val="00297ADF"/>
    <w:pPr>
      <w:keepNext/>
      <w:keepLines/>
      <w:spacing w:before="40" w:after="0"/>
      <w:outlineLvl w:val="4"/>
    </w:pPr>
    <w:rPr>
      <w:rFonts w:asciiTheme="majorHAnsi" w:eastAsiaTheme="majorEastAsia" w:hAnsiTheme="majorHAnsi" w:cstheme="majorBidi"/>
      <w:color w:val="00578A" w:themeColor="accent1" w:themeShade="BF"/>
    </w:rPr>
  </w:style>
  <w:style w:type="paragraph" w:styleId="Heading6">
    <w:name w:val="heading 6"/>
    <w:basedOn w:val="Normal"/>
    <w:next w:val="Normal"/>
    <w:link w:val="Heading6Char"/>
    <w:uiPriority w:val="9"/>
    <w:semiHidden/>
    <w:unhideWhenUsed/>
    <w:qFormat/>
    <w:rsid w:val="00297ADF"/>
    <w:pPr>
      <w:keepNext/>
      <w:keepLines/>
      <w:spacing w:before="40" w:after="0"/>
      <w:outlineLvl w:val="5"/>
    </w:pPr>
    <w:rPr>
      <w:rFonts w:asciiTheme="majorHAnsi" w:eastAsiaTheme="majorEastAsia" w:hAnsiTheme="majorHAnsi" w:cstheme="majorBidi"/>
      <w:color w:val="003A5C" w:themeColor="accent1" w:themeShade="7F"/>
    </w:rPr>
  </w:style>
  <w:style w:type="paragraph" w:styleId="Heading7">
    <w:name w:val="heading 7"/>
    <w:basedOn w:val="Normal"/>
    <w:next w:val="Normal"/>
    <w:link w:val="Heading7Char"/>
    <w:uiPriority w:val="9"/>
    <w:semiHidden/>
    <w:unhideWhenUsed/>
    <w:qFormat/>
    <w:rsid w:val="005500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00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00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ADF"/>
    <w:rPr>
      <w:rFonts w:asciiTheme="majorHAnsi" w:eastAsiaTheme="majorEastAsia" w:hAnsiTheme="majorHAnsi" w:cstheme="majorBidi"/>
      <w:b/>
      <w:bCs/>
      <w:color w:val="E27F2E" w:themeColor="accent2"/>
      <w:sz w:val="36"/>
      <w:szCs w:val="28"/>
    </w:rPr>
  </w:style>
  <w:style w:type="character" w:customStyle="1" w:styleId="Heading2Char">
    <w:name w:val="Heading 2 Char"/>
    <w:basedOn w:val="DefaultParagraphFont"/>
    <w:link w:val="Heading2"/>
    <w:uiPriority w:val="9"/>
    <w:rsid w:val="00297ADF"/>
    <w:rPr>
      <w:rFonts w:eastAsiaTheme="majorEastAsia" w:cstheme="majorBidi"/>
      <w:b/>
      <w:bCs/>
      <w:color w:val="0075B9" w:themeColor="accent1"/>
      <w:sz w:val="28"/>
      <w:szCs w:val="26"/>
    </w:rPr>
  </w:style>
  <w:style w:type="character" w:customStyle="1" w:styleId="Heading3Char">
    <w:name w:val="Heading 3 Char"/>
    <w:basedOn w:val="DefaultParagraphFont"/>
    <w:link w:val="Heading3"/>
    <w:uiPriority w:val="9"/>
    <w:rsid w:val="00297ADF"/>
    <w:rPr>
      <w:rFonts w:eastAsiaTheme="majorEastAsia" w:cstheme="majorBidi"/>
      <w:b/>
      <w:bCs/>
      <w:color w:val="89B71B" w:themeColor="accent4"/>
      <w:sz w:val="24"/>
    </w:rPr>
  </w:style>
  <w:style w:type="character" w:customStyle="1" w:styleId="Heading4Char">
    <w:name w:val="Heading 4 Char"/>
    <w:basedOn w:val="DefaultParagraphFont"/>
    <w:link w:val="Heading4"/>
    <w:uiPriority w:val="9"/>
    <w:rsid w:val="00297ADF"/>
    <w:rPr>
      <w:rFonts w:asciiTheme="majorHAnsi" w:eastAsiaTheme="majorEastAsia" w:hAnsiTheme="majorHAnsi" w:cstheme="majorBidi"/>
      <w:b/>
      <w:bCs/>
      <w:i/>
      <w:iCs/>
      <w:color w:val="0075B9" w:themeColor="accent1"/>
    </w:rPr>
  </w:style>
  <w:style w:type="character" w:customStyle="1" w:styleId="Heading5Char">
    <w:name w:val="Heading 5 Char"/>
    <w:basedOn w:val="DefaultParagraphFont"/>
    <w:link w:val="Heading5"/>
    <w:uiPriority w:val="9"/>
    <w:semiHidden/>
    <w:rsid w:val="00297ADF"/>
    <w:rPr>
      <w:rFonts w:asciiTheme="majorHAnsi" w:eastAsiaTheme="majorEastAsia" w:hAnsiTheme="majorHAnsi" w:cstheme="majorBidi"/>
      <w:color w:val="00578A" w:themeColor="accent1" w:themeShade="BF"/>
    </w:rPr>
  </w:style>
  <w:style w:type="character" w:customStyle="1" w:styleId="Heading6Char">
    <w:name w:val="Heading 6 Char"/>
    <w:basedOn w:val="DefaultParagraphFont"/>
    <w:link w:val="Heading6"/>
    <w:uiPriority w:val="9"/>
    <w:semiHidden/>
    <w:rsid w:val="00297ADF"/>
    <w:rPr>
      <w:rFonts w:asciiTheme="majorHAnsi" w:eastAsiaTheme="majorEastAsia" w:hAnsiTheme="majorHAnsi" w:cstheme="majorBidi"/>
      <w:color w:val="003A5C" w:themeColor="accent1" w:themeShade="7F"/>
    </w:rPr>
  </w:style>
  <w:style w:type="character" w:customStyle="1" w:styleId="Heading7Char">
    <w:name w:val="Heading 7 Char"/>
    <w:basedOn w:val="DefaultParagraphFont"/>
    <w:link w:val="Heading7"/>
    <w:uiPriority w:val="9"/>
    <w:semiHidden/>
    <w:rsid w:val="005500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00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000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55000E"/>
    <w:rPr>
      <w:sz w:val="20"/>
      <w:szCs w:val="20"/>
    </w:rPr>
  </w:style>
  <w:style w:type="character" w:customStyle="1" w:styleId="FootnoteTextChar">
    <w:name w:val="Footnote Text Char"/>
    <w:basedOn w:val="DefaultParagraphFont"/>
    <w:link w:val="FootnoteText"/>
    <w:uiPriority w:val="99"/>
    <w:semiHidden/>
    <w:rsid w:val="0055000E"/>
    <w:rPr>
      <w:rFonts w:ascii="Calibri Light" w:hAnsi="Calibri Light"/>
      <w:sz w:val="20"/>
      <w:szCs w:val="20"/>
    </w:rPr>
  </w:style>
  <w:style w:type="paragraph" w:styleId="CommentText">
    <w:name w:val="annotation text"/>
    <w:basedOn w:val="Normal"/>
    <w:link w:val="CommentTextChar"/>
    <w:uiPriority w:val="99"/>
    <w:semiHidden/>
    <w:unhideWhenUsed/>
    <w:rsid w:val="0055000E"/>
    <w:rPr>
      <w:sz w:val="20"/>
      <w:szCs w:val="20"/>
    </w:rPr>
  </w:style>
  <w:style w:type="character" w:customStyle="1" w:styleId="CommentTextChar">
    <w:name w:val="Comment Text Char"/>
    <w:basedOn w:val="DefaultParagraphFont"/>
    <w:link w:val="CommentText"/>
    <w:uiPriority w:val="99"/>
    <w:semiHidden/>
    <w:rsid w:val="0055000E"/>
    <w:rPr>
      <w:rFonts w:ascii="Calibri Light" w:hAnsi="Calibri Light"/>
      <w:sz w:val="20"/>
      <w:szCs w:val="20"/>
    </w:rPr>
  </w:style>
  <w:style w:type="paragraph" w:styleId="Header">
    <w:name w:val="header"/>
    <w:basedOn w:val="Normal"/>
    <w:link w:val="HeaderChar"/>
    <w:uiPriority w:val="99"/>
    <w:unhideWhenUsed/>
    <w:rsid w:val="0055000E"/>
    <w:pPr>
      <w:tabs>
        <w:tab w:val="center" w:pos="4680"/>
        <w:tab w:val="right" w:pos="9360"/>
      </w:tabs>
    </w:pPr>
  </w:style>
  <w:style w:type="character" w:customStyle="1" w:styleId="HeaderChar">
    <w:name w:val="Header Char"/>
    <w:basedOn w:val="DefaultParagraphFont"/>
    <w:link w:val="Header"/>
    <w:uiPriority w:val="99"/>
    <w:rsid w:val="0055000E"/>
    <w:rPr>
      <w:rFonts w:ascii="Calibri Light" w:hAnsi="Calibri Light"/>
    </w:rPr>
  </w:style>
  <w:style w:type="paragraph" w:styleId="Footer">
    <w:name w:val="footer"/>
    <w:basedOn w:val="Normal"/>
    <w:link w:val="FooterChar"/>
    <w:uiPriority w:val="99"/>
    <w:unhideWhenUsed/>
    <w:rsid w:val="0055000E"/>
    <w:pPr>
      <w:tabs>
        <w:tab w:val="center" w:pos="4680"/>
        <w:tab w:val="right" w:pos="9360"/>
      </w:tabs>
    </w:pPr>
  </w:style>
  <w:style w:type="character" w:customStyle="1" w:styleId="FooterChar">
    <w:name w:val="Footer Char"/>
    <w:basedOn w:val="DefaultParagraphFont"/>
    <w:link w:val="Footer"/>
    <w:uiPriority w:val="99"/>
    <w:rsid w:val="0055000E"/>
    <w:rPr>
      <w:rFonts w:ascii="Calibri Light" w:hAnsi="Calibri Light"/>
    </w:rPr>
  </w:style>
  <w:style w:type="paragraph" w:styleId="Caption">
    <w:name w:val="caption"/>
    <w:basedOn w:val="Normal"/>
    <w:next w:val="Normal"/>
    <w:uiPriority w:val="35"/>
    <w:semiHidden/>
    <w:unhideWhenUsed/>
    <w:qFormat/>
    <w:rsid w:val="00297ADF"/>
    <w:pPr>
      <w:spacing w:line="240" w:lineRule="auto"/>
    </w:pPr>
    <w:rPr>
      <w:b/>
      <w:bCs/>
      <w:color w:val="0075B9" w:themeColor="accent1"/>
      <w:sz w:val="18"/>
      <w:szCs w:val="18"/>
    </w:rPr>
  </w:style>
  <w:style w:type="character" w:styleId="FootnoteReference">
    <w:name w:val="footnote reference"/>
    <w:basedOn w:val="DefaultParagraphFont"/>
    <w:uiPriority w:val="99"/>
    <w:semiHidden/>
    <w:unhideWhenUsed/>
    <w:rsid w:val="0055000E"/>
    <w:rPr>
      <w:vertAlign w:val="superscript"/>
    </w:rPr>
  </w:style>
  <w:style w:type="character" w:styleId="CommentReference">
    <w:name w:val="annotation reference"/>
    <w:basedOn w:val="DefaultParagraphFont"/>
    <w:uiPriority w:val="99"/>
    <w:semiHidden/>
    <w:unhideWhenUsed/>
    <w:rsid w:val="0055000E"/>
    <w:rPr>
      <w:sz w:val="16"/>
      <w:szCs w:val="16"/>
    </w:rPr>
  </w:style>
  <w:style w:type="paragraph" w:styleId="Title">
    <w:name w:val="Title"/>
    <w:basedOn w:val="Normal"/>
    <w:next w:val="Normal"/>
    <w:link w:val="TitleChar"/>
    <w:uiPriority w:val="10"/>
    <w:qFormat/>
    <w:rsid w:val="00CE203F"/>
    <w:pPr>
      <w:pBdr>
        <w:bottom w:val="single" w:sz="8" w:space="4" w:color="0075B9" w:themeColor="accent1"/>
      </w:pBdr>
      <w:spacing w:after="300" w:line="240" w:lineRule="auto"/>
      <w:contextualSpacing/>
    </w:pPr>
    <w:rPr>
      <w:rFonts w:asciiTheme="majorHAnsi" w:eastAsiaTheme="majorEastAsia" w:hAnsiTheme="majorHAnsi" w:cstheme="majorBidi"/>
      <w:color w:val="004C5F" w:themeColor="text2" w:themeShade="BF"/>
      <w:spacing w:val="5"/>
      <w:kern w:val="28"/>
      <w:sz w:val="52"/>
      <w:szCs w:val="52"/>
    </w:rPr>
  </w:style>
  <w:style w:type="character" w:customStyle="1" w:styleId="TitleChar">
    <w:name w:val="Title Char"/>
    <w:basedOn w:val="DefaultParagraphFont"/>
    <w:link w:val="Title"/>
    <w:uiPriority w:val="10"/>
    <w:rsid w:val="00CE203F"/>
    <w:rPr>
      <w:rFonts w:asciiTheme="majorHAnsi" w:eastAsiaTheme="majorEastAsia" w:hAnsiTheme="majorHAnsi" w:cstheme="majorBidi"/>
      <w:color w:val="004C5F" w:themeColor="text2" w:themeShade="BF"/>
      <w:spacing w:val="5"/>
      <w:kern w:val="28"/>
      <w:sz w:val="52"/>
      <w:szCs w:val="52"/>
    </w:rPr>
  </w:style>
  <w:style w:type="paragraph" w:styleId="Subtitle">
    <w:name w:val="Subtitle"/>
    <w:basedOn w:val="Normal"/>
    <w:next w:val="Normal"/>
    <w:link w:val="SubtitleChar"/>
    <w:uiPriority w:val="11"/>
    <w:qFormat/>
    <w:rsid w:val="0055000E"/>
    <w:pPr>
      <w:numPr>
        <w:ilvl w:val="1"/>
      </w:numPr>
    </w:pPr>
    <w:rPr>
      <w:rFonts w:asciiTheme="majorHAnsi" w:eastAsiaTheme="majorEastAsia" w:hAnsiTheme="majorHAnsi" w:cstheme="majorBidi"/>
      <w:i/>
      <w:iCs/>
      <w:color w:val="0075B9" w:themeColor="accent1"/>
      <w:spacing w:val="15"/>
      <w:sz w:val="24"/>
      <w:szCs w:val="24"/>
    </w:rPr>
  </w:style>
  <w:style w:type="character" w:customStyle="1" w:styleId="SubtitleChar">
    <w:name w:val="Subtitle Char"/>
    <w:basedOn w:val="DefaultParagraphFont"/>
    <w:link w:val="Subtitle"/>
    <w:uiPriority w:val="11"/>
    <w:rsid w:val="0055000E"/>
    <w:rPr>
      <w:rFonts w:asciiTheme="majorHAnsi" w:eastAsiaTheme="majorEastAsia" w:hAnsiTheme="majorHAnsi" w:cstheme="majorBidi"/>
      <w:i/>
      <w:iCs/>
      <w:color w:val="0075B9" w:themeColor="accent1"/>
      <w:spacing w:val="15"/>
      <w:sz w:val="24"/>
      <w:szCs w:val="24"/>
    </w:rPr>
  </w:style>
  <w:style w:type="character" w:styleId="Hyperlink">
    <w:name w:val="Hyperlink"/>
    <w:basedOn w:val="DefaultParagraphFont"/>
    <w:uiPriority w:val="99"/>
    <w:unhideWhenUsed/>
    <w:rsid w:val="0055000E"/>
    <w:rPr>
      <w:color w:val="0000FF" w:themeColor="hyperlink"/>
      <w:u w:val="single"/>
    </w:rPr>
  </w:style>
  <w:style w:type="character" w:styleId="Strong">
    <w:name w:val="Strong"/>
    <w:basedOn w:val="DefaultParagraphFont"/>
    <w:uiPriority w:val="22"/>
    <w:qFormat/>
    <w:rsid w:val="0055000E"/>
    <w:rPr>
      <w:b/>
      <w:bCs/>
    </w:rPr>
  </w:style>
  <w:style w:type="character" w:styleId="Emphasis">
    <w:name w:val="Emphasis"/>
    <w:uiPriority w:val="20"/>
    <w:qFormat/>
    <w:rsid w:val="0055000E"/>
    <w:rPr>
      <w:i/>
      <w:iCs/>
    </w:rPr>
  </w:style>
  <w:style w:type="paragraph" w:styleId="NormalWeb">
    <w:name w:val="Normal (Web)"/>
    <w:basedOn w:val="Normal"/>
    <w:uiPriority w:val="99"/>
    <w:semiHidden/>
    <w:unhideWhenUsed/>
    <w:rsid w:val="0055000E"/>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55000E"/>
    <w:rPr>
      <w:b/>
      <w:bCs/>
    </w:rPr>
  </w:style>
  <w:style w:type="character" w:customStyle="1" w:styleId="CommentSubjectChar">
    <w:name w:val="Comment Subject Char"/>
    <w:basedOn w:val="CommentTextChar"/>
    <w:link w:val="CommentSubject"/>
    <w:uiPriority w:val="99"/>
    <w:semiHidden/>
    <w:rsid w:val="0055000E"/>
    <w:rPr>
      <w:rFonts w:ascii="Calibri Light" w:hAnsi="Calibri Light"/>
      <w:b/>
      <w:bCs/>
      <w:sz w:val="20"/>
      <w:szCs w:val="20"/>
    </w:rPr>
  </w:style>
  <w:style w:type="paragraph" w:styleId="BalloonText">
    <w:name w:val="Balloon Text"/>
    <w:basedOn w:val="Normal"/>
    <w:link w:val="BalloonTextChar"/>
    <w:uiPriority w:val="99"/>
    <w:semiHidden/>
    <w:unhideWhenUsed/>
    <w:rsid w:val="0055000E"/>
    <w:rPr>
      <w:rFonts w:ascii="Tahoma" w:hAnsi="Tahoma" w:cs="Tahoma"/>
      <w:sz w:val="16"/>
      <w:szCs w:val="16"/>
    </w:rPr>
  </w:style>
  <w:style w:type="character" w:customStyle="1" w:styleId="BalloonTextChar">
    <w:name w:val="Balloon Text Char"/>
    <w:basedOn w:val="DefaultParagraphFont"/>
    <w:link w:val="BalloonText"/>
    <w:uiPriority w:val="99"/>
    <w:semiHidden/>
    <w:rsid w:val="0055000E"/>
    <w:rPr>
      <w:rFonts w:ascii="Tahoma" w:hAnsi="Tahoma" w:cs="Tahoma"/>
      <w:sz w:val="16"/>
      <w:szCs w:val="16"/>
    </w:rPr>
  </w:style>
  <w:style w:type="table" w:styleId="TableGrid">
    <w:name w:val="Table Grid"/>
    <w:basedOn w:val="TableNormal"/>
    <w:uiPriority w:val="59"/>
    <w:rsid w:val="0055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203F"/>
    <w:pPr>
      <w:spacing w:after="0" w:line="240" w:lineRule="auto"/>
    </w:pPr>
  </w:style>
  <w:style w:type="character" w:customStyle="1" w:styleId="NoSpacingChar">
    <w:name w:val="No Spacing Char"/>
    <w:basedOn w:val="DefaultParagraphFont"/>
    <w:link w:val="NoSpacing"/>
    <w:uiPriority w:val="1"/>
    <w:rsid w:val="00CE203F"/>
  </w:style>
  <w:style w:type="paragraph" w:styleId="ListParagraph">
    <w:name w:val="List Paragraph"/>
    <w:basedOn w:val="Normal"/>
    <w:uiPriority w:val="34"/>
    <w:qFormat/>
    <w:rsid w:val="00297ADF"/>
    <w:pPr>
      <w:spacing w:after="0" w:line="240" w:lineRule="auto"/>
      <w:ind w:left="720"/>
    </w:pPr>
    <w:rPr>
      <w:rFonts w:ascii="Calibri" w:hAnsi="Calibri"/>
    </w:rPr>
  </w:style>
  <w:style w:type="paragraph" w:styleId="Quote">
    <w:name w:val="Quote"/>
    <w:basedOn w:val="Normal"/>
    <w:next w:val="Normal"/>
    <w:link w:val="QuoteChar"/>
    <w:uiPriority w:val="29"/>
    <w:qFormat/>
    <w:rsid w:val="0055000E"/>
    <w:rPr>
      <w:i/>
      <w:iCs/>
      <w:color w:val="000000" w:themeColor="text1"/>
    </w:rPr>
  </w:style>
  <w:style w:type="character" w:customStyle="1" w:styleId="QuoteChar">
    <w:name w:val="Quote Char"/>
    <w:basedOn w:val="DefaultParagraphFont"/>
    <w:link w:val="Quote"/>
    <w:uiPriority w:val="29"/>
    <w:rsid w:val="0055000E"/>
    <w:rPr>
      <w:i/>
      <w:iCs/>
      <w:color w:val="000000" w:themeColor="text1"/>
    </w:rPr>
  </w:style>
  <w:style w:type="paragraph" w:styleId="IntenseQuote">
    <w:name w:val="Intense Quote"/>
    <w:basedOn w:val="Normal"/>
    <w:next w:val="Normal"/>
    <w:link w:val="IntenseQuoteChar"/>
    <w:uiPriority w:val="30"/>
    <w:qFormat/>
    <w:rsid w:val="0055000E"/>
    <w:pPr>
      <w:pBdr>
        <w:bottom w:val="single" w:sz="4" w:space="4" w:color="0075B9" w:themeColor="accent1"/>
      </w:pBdr>
      <w:spacing w:before="200" w:after="280"/>
      <w:ind w:left="936" w:right="936"/>
    </w:pPr>
    <w:rPr>
      <w:b/>
      <w:bCs/>
      <w:i/>
      <w:iCs/>
      <w:color w:val="0075B9" w:themeColor="accent1"/>
    </w:rPr>
  </w:style>
  <w:style w:type="character" w:customStyle="1" w:styleId="IntenseQuoteChar">
    <w:name w:val="Intense Quote Char"/>
    <w:basedOn w:val="DefaultParagraphFont"/>
    <w:link w:val="IntenseQuote"/>
    <w:uiPriority w:val="30"/>
    <w:rsid w:val="0055000E"/>
    <w:rPr>
      <w:b/>
      <w:bCs/>
      <w:i/>
      <w:iCs/>
      <w:color w:val="0075B9" w:themeColor="accent1"/>
    </w:rPr>
  </w:style>
  <w:style w:type="character" w:styleId="SubtleEmphasis">
    <w:name w:val="Subtle Emphasis"/>
    <w:uiPriority w:val="19"/>
    <w:qFormat/>
    <w:rsid w:val="0055000E"/>
    <w:rPr>
      <w:i/>
      <w:iCs/>
      <w:color w:val="808080" w:themeColor="text1" w:themeTint="7F"/>
    </w:rPr>
  </w:style>
  <w:style w:type="character" w:styleId="IntenseEmphasis">
    <w:name w:val="Intense Emphasis"/>
    <w:uiPriority w:val="21"/>
    <w:qFormat/>
    <w:rsid w:val="0055000E"/>
    <w:rPr>
      <w:b/>
      <w:bCs/>
      <w:i/>
      <w:iCs/>
      <w:color w:val="0075B9" w:themeColor="accent1"/>
    </w:rPr>
  </w:style>
  <w:style w:type="character" w:styleId="SubtleReference">
    <w:name w:val="Subtle Reference"/>
    <w:uiPriority w:val="31"/>
    <w:qFormat/>
    <w:rsid w:val="0055000E"/>
    <w:rPr>
      <w:smallCaps/>
      <w:color w:val="E27F2E" w:themeColor="accent2"/>
      <w:u w:val="single"/>
    </w:rPr>
  </w:style>
  <w:style w:type="character" w:styleId="IntenseReference">
    <w:name w:val="Intense Reference"/>
    <w:basedOn w:val="DefaultParagraphFont"/>
    <w:uiPriority w:val="32"/>
    <w:qFormat/>
    <w:rsid w:val="0055000E"/>
    <w:rPr>
      <w:b/>
      <w:bCs/>
      <w:smallCaps/>
      <w:color w:val="E27F2E" w:themeColor="accent2"/>
      <w:spacing w:val="5"/>
      <w:u w:val="single"/>
    </w:rPr>
  </w:style>
  <w:style w:type="character" w:styleId="BookTitle">
    <w:name w:val="Book Title"/>
    <w:basedOn w:val="DefaultParagraphFont"/>
    <w:uiPriority w:val="33"/>
    <w:qFormat/>
    <w:rsid w:val="0055000E"/>
    <w:rPr>
      <w:b/>
      <w:bCs/>
      <w:smallCaps/>
      <w:spacing w:val="5"/>
    </w:rPr>
  </w:style>
  <w:style w:type="paragraph" w:styleId="TOCHeading">
    <w:name w:val="TOC Heading"/>
    <w:basedOn w:val="Heading1"/>
    <w:next w:val="Normal"/>
    <w:uiPriority w:val="39"/>
    <w:semiHidden/>
    <w:unhideWhenUsed/>
    <w:qFormat/>
    <w:rsid w:val="0055000E"/>
    <w:pPr>
      <w:outlineLvl w:val="9"/>
    </w:pPr>
    <w:rPr>
      <w:color w:val="00578A" w:themeColor="accent1" w:themeShade="BF"/>
      <w:sz w:val="28"/>
    </w:rPr>
  </w:style>
  <w:style w:type="table" w:customStyle="1" w:styleId="GridTable4-Accent31">
    <w:name w:val="Grid Table 4 - Accent 31"/>
    <w:basedOn w:val="TableNormal"/>
    <w:uiPriority w:val="49"/>
    <w:rsid w:val="0055000E"/>
    <w:pPr>
      <w:spacing w:after="0" w:line="240" w:lineRule="auto"/>
    </w:pPr>
    <w:tblPr>
      <w:tblStyleRowBandSize w:val="1"/>
      <w:tblStyleColBandSize w:val="1"/>
      <w:tblBorders>
        <w:top w:val="single" w:sz="4" w:space="0" w:color="FFC982" w:themeColor="accent3" w:themeTint="99"/>
        <w:left w:val="single" w:sz="4" w:space="0" w:color="FFC982" w:themeColor="accent3" w:themeTint="99"/>
        <w:bottom w:val="single" w:sz="4" w:space="0" w:color="FFC982" w:themeColor="accent3" w:themeTint="99"/>
        <w:right w:val="single" w:sz="4" w:space="0" w:color="FFC982" w:themeColor="accent3" w:themeTint="99"/>
        <w:insideH w:val="single" w:sz="4" w:space="0" w:color="FFC982" w:themeColor="accent3" w:themeTint="99"/>
        <w:insideV w:val="single" w:sz="4" w:space="0" w:color="FFC982" w:themeColor="accent3" w:themeTint="99"/>
      </w:tblBorders>
    </w:tblPr>
    <w:tblStylePr w:type="firstRow">
      <w:rPr>
        <w:b/>
        <w:bCs/>
        <w:color w:val="FFFFFF" w:themeColor="background1"/>
      </w:rPr>
      <w:tblPr/>
      <w:tcPr>
        <w:tcBorders>
          <w:top w:val="single" w:sz="4" w:space="0" w:color="FFA62F" w:themeColor="accent3"/>
          <w:left w:val="single" w:sz="4" w:space="0" w:color="FFA62F" w:themeColor="accent3"/>
          <w:bottom w:val="single" w:sz="4" w:space="0" w:color="FFA62F" w:themeColor="accent3"/>
          <w:right w:val="single" w:sz="4" w:space="0" w:color="FFA62F" w:themeColor="accent3"/>
          <w:insideH w:val="nil"/>
          <w:insideV w:val="nil"/>
        </w:tcBorders>
        <w:shd w:val="clear" w:color="auto" w:fill="FFA62F" w:themeFill="accent3"/>
      </w:tcPr>
    </w:tblStylePr>
    <w:tblStylePr w:type="lastRow">
      <w:rPr>
        <w:b/>
        <w:bCs/>
      </w:rPr>
      <w:tblPr/>
      <w:tcPr>
        <w:tcBorders>
          <w:top w:val="double" w:sz="4" w:space="0" w:color="FFA62F" w:themeColor="accent3"/>
        </w:tcBorders>
      </w:tcPr>
    </w:tblStylePr>
    <w:tblStylePr w:type="firstCol">
      <w:rPr>
        <w:b/>
        <w:bCs/>
      </w:rPr>
    </w:tblStylePr>
    <w:tblStylePr w:type="lastCol">
      <w:rPr>
        <w:b/>
        <w:bCs/>
      </w:rPr>
    </w:tblStylePr>
    <w:tblStylePr w:type="band1Vert">
      <w:tblPr/>
      <w:tcPr>
        <w:shd w:val="clear" w:color="auto" w:fill="FFEDD5" w:themeFill="accent3" w:themeFillTint="33"/>
      </w:tcPr>
    </w:tblStylePr>
    <w:tblStylePr w:type="band1Horz">
      <w:tblPr/>
      <w:tcPr>
        <w:shd w:val="clear" w:color="auto" w:fill="FFEDD5" w:themeFill="accent3" w:themeFillTint="33"/>
      </w:tcPr>
    </w:tblStylePr>
  </w:style>
  <w:style w:type="table" w:customStyle="1" w:styleId="GridTable4-Accent21">
    <w:name w:val="Grid Table 4 - Accent 21"/>
    <w:basedOn w:val="TableNormal"/>
    <w:uiPriority w:val="49"/>
    <w:rsid w:val="0055000E"/>
    <w:pPr>
      <w:spacing w:after="0" w:line="240" w:lineRule="auto"/>
    </w:pPr>
    <w:tblPr>
      <w:tblStyleRowBandSize w:val="1"/>
      <w:tblStyleColBandSize w:val="1"/>
      <w:tblBorders>
        <w:top w:val="single" w:sz="4" w:space="0" w:color="EDB181" w:themeColor="accent2" w:themeTint="99"/>
        <w:left w:val="single" w:sz="4" w:space="0" w:color="EDB181" w:themeColor="accent2" w:themeTint="99"/>
        <w:bottom w:val="single" w:sz="4" w:space="0" w:color="EDB181" w:themeColor="accent2" w:themeTint="99"/>
        <w:right w:val="single" w:sz="4" w:space="0" w:color="EDB181" w:themeColor="accent2" w:themeTint="99"/>
        <w:insideH w:val="single" w:sz="4" w:space="0" w:color="EDB181" w:themeColor="accent2" w:themeTint="99"/>
        <w:insideV w:val="single" w:sz="4" w:space="0" w:color="EDB181" w:themeColor="accent2" w:themeTint="99"/>
      </w:tblBorders>
    </w:tblPr>
    <w:tblStylePr w:type="firstRow">
      <w:rPr>
        <w:b/>
        <w:bCs/>
        <w:color w:val="FFFFFF" w:themeColor="background1"/>
      </w:rPr>
      <w:tblPr/>
      <w:tcPr>
        <w:tcBorders>
          <w:top w:val="single" w:sz="4" w:space="0" w:color="E27F2E" w:themeColor="accent2"/>
          <w:left w:val="single" w:sz="4" w:space="0" w:color="E27F2E" w:themeColor="accent2"/>
          <w:bottom w:val="single" w:sz="4" w:space="0" w:color="E27F2E" w:themeColor="accent2"/>
          <w:right w:val="single" w:sz="4" w:space="0" w:color="E27F2E" w:themeColor="accent2"/>
          <w:insideH w:val="nil"/>
          <w:insideV w:val="nil"/>
        </w:tcBorders>
        <w:shd w:val="clear" w:color="auto" w:fill="E27F2E" w:themeFill="accent2"/>
      </w:tcPr>
    </w:tblStylePr>
    <w:tblStylePr w:type="lastRow">
      <w:rPr>
        <w:b/>
        <w:bCs/>
      </w:rPr>
      <w:tblPr/>
      <w:tcPr>
        <w:tcBorders>
          <w:top w:val="double" w:sz="4" w:space="0" w:color="E27F2E" w:themeColor="accent2"/>
        </w:tcBorders>
      </w:tcPr>
    </w:tblStylePr>
    <w:tblStylePr w:type="firstCol">
      <w:rPr>
        <w:b/>
        <w:bCs/>
      </w:rPr>
    </w:tblStylePr>
    <w:tblStylePr w:type="lastCol">
      <w:rPr>
        <w:b/>
        <w:bCs/>
      </w:rPr>
    </w:tblStylePr>
    <w:tblStylePr w:type="band1Vert">
      <w:tblPr/>
      <w:tcPr>
        <w:shd w:val="clear" w:color="auto" w:fill="F9E5D5" w:themeFill="accent2" w:themeFillTint="33"/>
      </w:tcPr>
    </w:tblStylePr>
    <w:tblStylePr w:type="band1Horz">
      <w:tblPr/>
      <w:tcPr>
        <w:shd w:val="clear" w:color="auto" w:fill="F9E5D5" w:themeFill="accent2" w:themeFillTint="33"/>
      </w:tcPr>
    </w:tblStylePr>
  </w:style>
  <w:style w:type="paragraph" w:customStyle="1" w:styleId="MAS">
    <w:name w:val="MAS"/>
    <w:basedOn w:val="Heading1"/>
    <w:link w:val="MASChar"/>
    <w:rsid w:val="0055000E"/>
  </w:style>
  <w:style w:type="character" w:customStyle="1" w:styleId="MASChar">
    <w:name w:val="MAS Char"/>
    <w:basedOn w:val="Heading1Char"/>
    <w:link w:val="MAS"/>
    <w:rsid w:val="0055000E"/>
    <w:rPr>
      <w:rFonts w:asciiTheme="minorHAnsi" w:eastAsiaTheme="majorEastAsia" w:hAnsiTheme="minorHAnsi" w:cstheme="majorBidi"/>
      <w:b/>
      <w:bCs/>
      <w:color w:val="0075B9" w:themeColor="accent1"/>
      <w:sz w:val="28"/>
      <w:szCs w:val="28"/>
    </w:rPr>
  </w:style>
  <w:style w:type="character" w:styleId="UnresolvedMention">
    <w:name w:val="Unresolved Mention"/>
    <w:basedOn w:val="DefaultParagraphFont"/>
    <w:uiPriority w:val="99"/>
    <w:semiHidden/>
    <w:unhideWhenUsed/>
    <w:rsid w:val="00722C6A"/>
    <w:rPr>
      <w:color w:val="808080"/>
      <w:shd w:val="clear" w:color="auto" w:fill="E6E6E6"/>
    </w:rPr>
  </w:style>
  <w:style w:type="character" w:styleId="FollowedHyperlink">
    <w:name w:val="FollowedHyperlink"/>
    <w:basedOn w:val="DefaultParagraphFont"/>
    <w:uiPriority w:val="99"/>
    <w:semiHidden/>
    <w:unhideWhenUsed/>
    <w:rsid w:val="008F4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37">
      <w:bodyDiv w:val="1"/>
      <w:marLeft w:val="0"/>
      <w:marRight w:val="0"/>
      <w:marTop w:val="0"/>
      <w:marBottom w:val="0"/>
      <w:divBdr>
        <w:top w:val="none" w:sz="0" w:space="0" w:color="auto"/>
        <w:left w:val="none" w:sz="0" w:space="0" w:color="auto"/>
        <w:bottom w:val="none" w:sz="0" w:space="0" w:color="auto"/>
        <w:right w:val="none" w:sz="0" w:space="0" w:color="auto"/>
      </w:divBdr>
    </w:div>
    <w:div w:id="883057430">
      <w:bodyDiv w:val="1"/>
      <w:marLeft w:val="0"/>
      <w:marRight w:val="0"/>
      <w:marTop w:val="0"/>
      <w:marBottom w:val="0"/>
      <w:divBdr>
        <w:top w:val="none" w:sz="0" w:space="0" w:color="auto"/>
        <w:left w:val="none" w:sz="0" w:space="0" w:color="auto"/>
        <w:bottom w:val="none" w:sz="0" w:space="0" w:color="auto"/>
        <w:right w:val="none" w:sz="0" w:space="0" w:color="auto"/>
      </w:divBdr>
    </w:div>
    <w:div w:id="1026323031">
      <w:bodyDiv w:val="1"/>
      <w:marLeft w:val="0"/>
      <w:marRight w:val="0"/>
      <w:marTop w:val="0"/>
      <w:marBottom w:val="0"/>
      <w:divBdr>
        <w:top w:val="none" w:sz="0" w:space="0" w:color="auto"/>
        <w:left w:val="none" w:sz="0" w:space="0" w:color="auto"/>
        <w:bottom w:val="none" w:sz="0" w:space="0" w:color="auto"/>
        <w:right w:val="none" w:sz="0" w:space="0" w:color="auto"/>
      </w:divBdr>
    </w:div>
    <w:div w:id="1310943623">
      <w:bodyDiv w:val="1"/>
      <w:marLeft w:val="0"/>
      <w:marRight w:val="0"/>
      <w:marTop w:val="0"/>
      <w:marBottom w:val="0"/>
      <w:divBdr>
        <w:top w:val="none" w:sz="0" w:space="0" w:color="auto"/>
        <w:left w:val="none" w:sz="0" w:space="0" w:color="auto"/>
        <w:bottom w:val="none" w:sz="0" w:space="0" w:color="auto"/>
        <w:right w:val="none" w:sz="0" w:space="0" w:color="auto"/>
      </w:divBdr>
    </w:div>
    <w:div w:id="1845052856">
      <w:bodyDiv w:val="1"/>
      <w:marLeft w:val="0"/>
      <w:marRight w:val="0"/>
      <w:marTop w:val="0"/>
      <w:marBottom w:val="0"/>
      <w:divBdr>
        <w:top w:val="none" w:sz="0" w:space="0" w:color="auto"/>
        <w:left w:val="none" w:sz="0" w:space="0" w:color="auto"/>
        <w:bottom w:val="none" w:sz="0" w:space="0" w:color="auto"/>
        <w:right w:val="none" w:sz="0" w:space="0" w:color="auto"/>
      </w:divBdr>
    </w:div>
    <w:div w:id="2058964314">
      <w:bodyDiv w:val="1"/>
      <w:marLeft w:val="0"/>
      <w:marRight w:val="0"/>
      <w:marTop w:val="0"/>
      <w:marBottom w:val="0"/>
      <w:divBdr>
        <w:top w:val="none" w:sz="0" w:space="0" w:color="auto"/>
        <w:left w:val="none" w:sz="0" w:space="0" w:color="auto"/>
        <w:bottom w:val="none" w:sz="0" w:space="0" w:color="auto"/>
        <w:right w:val="none" w:sz="0" w:space="0" w:color="auto"/>
      </w:divBdr>
    </w:div>
    <w:div w:id="20605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qi.healthit.gov/ecqm/measures/cms69v7" TargetMode="External"/><Relationship Id="rId13" Type="http://schemas.openxmlformats.org/officeDocument/2006/relationships/hyperlink" Target="https://www.apta.org/MIPS/2018/Measure12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qi.healthit.gov/ecqm/measures/cms138v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na01.safelinks.protection.outlook.com_-3Furl-3Dhttps-253A-252F-252Fecqi.healthit.gov-252Fecqm-252Fmeasures-252Fcms138v6-26data-3D02-257C01-257C-257C2a175feb74bb480c366208d63510d42d-257C4ab45fb85da44f308ddc041fc7015aa3-257C0-257C0-257C636754743728523800-26sdata-3DPPKFiMQ2kTJM-252FGMael3yBPDxPc8k3oQt7jjWFz9H75w-253D-26reserved-3D0&amp;d=DwMFAg&amp;c=ZMR5nv7DeMA_5yIzV7zEdkSfOjTGya0xwGqp1JcaTq0&amp;r=0zJrzmVOKYHQj93ii3944_G3TCyoX1YUeUdSb_7PZq0&amp;m=bz4ykz5rIsAw586z3PfIs9TgTHkd6FqIEaf_1bz1wIE&amp;s=PJYNMrY_rRYZudUj8VkrzdeSFKmnumVxzo8uUsMgxAg&am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rldefense.proofpoint.com/v2/url?u=https-3A__na01.safelinks.protection.outlook.com_-3Furl-3Dhttps-253A-252F-252Fecqi.healthit.gov-252Fecqm-252Fmeasures-252Fcms138v5-26data-3D02-257C01-257C-257C2a175feb74bb480c366208d63510d42d-257C4ab45fb85da44f308ddc041fc7015aa3-257C0-257C0-257C636754743728523800-26sdata-3DPucREPOSoUea-252BKNtll6L-252B-252B2ZtpRW5UGqIyv1NqrgHuU-253D-26reserved-3D0&amp;d=DwMFAg&amp;c=ZMR5nv7DeMA_5yIzV7zEdkSfOjTGya0xwGqp1JcaTq0&amp;r=0zJrzmVOKYHQj93ii3944_G3TCyoX1YUeUdSb_7PZq0&amp;m=bz4ykz5rIsAw586z3PfIs9TgTHkd6FqIEaf_1bz1wIE&amp;s=T32SLRcXf-ulmFr5y1cmAZUSd0IY5RR0U9JnfDmV14Y&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who.int_nutrition_publications_bmi-5Fasia-5Fstrategies.pdf&amp;d=DwMFAg&amp;c=ZMR5nv7DeMA_5yIzV7zEdkSfOjTGya0xwGqp1JcaTq0&amp;r=0zJrzmVOKYHQj93ii3944_G3TCyoX1YUeUdSb_7PZq0&amp;m=xmiuN01uyxbbUPywXE99e9UWmu_b1HZ-7L4h-6wrTTE&amp;s=glxoG4Op579cq6V9j5D9OsRIgSnj0aR0kz691G-G7qc&amp;e=" TargetMode="External"/><Relationship Id="rId14" Type="http://schemas.openxmlformats.org/officeDocument/2006/relationships/hyperlink" Target="http://www.qualityforum.org/QPS/MeasureDetails.aspx?standardID=1235&amp;print=0&amp;entityTypeID=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che.org" TargetMode="External"/></Relationships>
</file>

<file path=word/theme/theme1.xml><?xml version="1.0" encoding="utf-8"?>
<a:theme xmlns:a="http://schemas.openxmlformats.org/drawingml/2006/main" name="Office Theme">
  <a:themeElements>
    <a:clrScheme name="PHASE">
      <a:dk1>
        <a:sysClr val="windowText" lastClr="000000"/>
      </a:dk1>
      <a:lt1>
        <a:sysClr val="window" lastClr="FFFFFF"/>
      </a:lt1>
      <a:dk2>
        <a:srgbClr val="00667F"/>
      </a:dk2>
      <a:lt2>
        <a:srgbClr val="EEECE1"/>
      </a:lt2>
      <a:accent1>
        <a:srgbClr val="0075B9"/>
      </a:accent1>
      <a:accent2>
        <a:srgbClr val="E27F2E"/>
      </a:accent2>
      <a:accent3>
        <a:srgbClr val="FFA62F"/>
      </a:accent3>
      <a:accent4>
        <a:srgbClr val="89B71B"/>
      </a:accent4>
      <a:accent5>
        <a:srgbClr val="963484"/>
      </a:accent5>
      <a:accent6>
        <a:srgbClr val="FF715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Schoeppe, Jennie</dc:creator>
  <cp:lastModifiedBy>Carly E. Levitz</cp:lastModifiedBy>
  <cp:revision>5</cp:revision>
  <dcterms:created xsi:type="dcterms:W3CDTF">2019-04-02T15:28:00Z</dcterms:created>
  <dcterms:modified xsi:type="dcterms:W3CDTF">2019-04-02T15:43:00Z</dcterms:modified>
</cp:coreProperties>
</file>