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8AD" w:rsidRPr="00ED78AD" w:rsidRDefault="00ED78AD" w:rsidP="00ED78AD">
      <w:pPr>
        <w:pStyle w:val="Title"/>
        <w:spacing w:before="20" w:after="20"/>
        <w:rPr>
          <w:rFonts w:ascii="Garamond" w:hAnsi="Garamond"/>
          <w:smallCaps/>
          <w:sz w:val="32"/>
          <w:szCs w:val="32"/>
          <w:u w:val="single"/>
        </w:rPr>
      </w:pPr>
      <w:r w:rsidRPr="00ED78AD">
        <w:rPr>
          <w:rFonts w:ascii="Garamond" w:hAnsi="Garamond"/>
          <w:smallCaps/>
          <w:sz w:val="32"/>
          <w:szCs w:val="32"/>
          <w:u w:val="single"/>
        </w:rPr>
        <w:t>Serve The People health community center</w:t>
      </w:r>
    </w:p>
    <w:p w:rsidR="00ED78AD" w:rsidRDefault="00ED78AD" w:rsidP="00ED78AD">
      <w:pPr>
        <w:pStyle w:val="Title"/>
        <w:spacing w:before="20" w:after="20"/>
        <w:rPr>
          <w:rFonts w:ascii="Garamond" w:hAnsi="Garamond"/>
          <w:smallCaps/>
          <w:sz w:val="28"/>
          <w:szCs w:val="28"/>
          <w:u w:val="single"/>
        </w:rPr>
      </w:pPr>
      <w:r>
        <w:rPr>
          <w:rFonts w:ascii="Garamond" w:hAnsi="Garamond"/>
          <w:smallCaps/>
          <w:sz w:val="28"/>
          <w:szCs w:val="28"/>
          <w:u w:val="single"/>
        </w:rPr>
        <w:t xml:space="preserve">Nursing </w:t>
      </w:r>
      <w:r w:rsidR="00B57A9E">
        <w:rPr>
          <w:rFonts w:ascii="Garamond" w:hAnsi="Garamond"/>
          <w:smallCaps/>
          <w:sz w:val="28"/>
          <w:szCs w:val="28"/>
          <w:u w:val="single"/>
        </w:rPr>
        <w:t xml:space="preserve">treatment guidelines for co-visit  </w:t>
      </w:r>
    </w:p>
    <w:p w:rsidR="00ED78AD" w:rsidRDefault="00ED78AD" w:rsidP="00ED78AD">
      <w:pPr>
        <w:pStyle w:val="Title"/>
        <w:spacing w:before="20" w:after="20"/>
        <w:rPr>
          <w:rFonts w:ascii="Garamond" w:hAnsi="Garamond"/>
          <w:smallCaps/>
          <w:sz w:val="28"/>
          <w:szCs w:val="28"/>
          <w:u w:val="single"/>
        </w:rPr>
      </w:pPr>
    </w:p>
    <w:p w:rsidR="00ED78AD" w:rsidRPr="00C1563F" w:rsidRDefault="00ED78AD" w:rsidP="00ED78AD">
      <w:pPr>
        <w:pStyle w:val="Title"/>
        <w:spacing w:before="20" w:after="20"/>
        <w:ind w:left="2880"/>
        <w:jc w:val="left"/>
        <w:rPr>
          <w:rFonts w:ascii="Garamond" w:hAnsi="Garamond"/>
          <w:smallCaps/>
          <w:sz w:val="28"/>
          <w:szCs w:val="28"/>
          <w:u w:val="single"/>
        </w:rPr>
      </w:pPr>
      <w:r>
        <w:rPr>
          <w:rFonts w:ascii="Garamond" w:hAnsi="Garamond"/>
          <w:smallCaps/>
          <w:sz w:val="28"/>
          <w:szCs w:val="28"/>
          <w:u w:val="single"/>
        </w:rPr>
        <w:t>PPD Reading (Positive)</w:t>
      </w:r>
    </w:p>
    <w:p w:rsidR="00ED78AD" w:rsidRDefault="00ED78AD" w:rsidP="00ED78AD">
      <w:pPr>
        <w:pStyle w:val="Subtitle"/>
        <w:spacing w:before="20" w:after="20" w:line="240" w:lineRule="auto"/>
        <w:jc w:val="center"/>
        <w:rPr>
          <w:rFonts w:ascii="Garamond" w:hAnsi="Garamond"/>
          <w:b/>
          <w:sz w:val="22"/>
          <w:szCs w:val="22"/>
          <w:u w:val="none"/>
        </w:rPr>
      </w:pPr>
    </w:p>
    <w:p w:rsidR="00ED78AD" w:rsidRDefault="00ED78AD" w:rsidP="00FD492C">
      <w:pPr>
        <w:pStyle w:val="Subtitle"/>
        <w:spacing w:before="20" w:after="20" w:line="480" w:lineRule="auto"/>
        <w:jc w:val="center"/>
        <w:rPr>
          <w:rFonts w:ascii="Garamond" w:hAnsi="Garamond"/>
          <w:b/>
          <w:sz w:val="22"/>
          <w:szCs w:val="22"/>
          <w:u w:val="none"/>
        </w:rPr>
      </w:pPr>
      <w:r w:rsidRPr="00A944C6">
        <w:rPr>
          <w:rFonts w:ascii="Garamond" w:hAnsi="Garamond"/>
          <w:b/>
          <w:sz w:val="22"/>
          <w:szCs w:val="22"/>
          <w:u w:val="none"/>
        </w:rPr>
        <w:t xml:space="preserve">PPD Reading may initially be done </w:t>
      </w:r>
      <w:r w:rsidR="00B57A9E">
        <w:rPr>
          <w:rFonts w:ascii="Garamond" w:hAnsi="Garamond"/>
          <w:b/>
          <w:sz w:val="22"/>
          <w:szCs w:val="22"/>
          <w:u w:val="none"/>
        </w:rPr>
        <w:t xml:space="preserve">by MA.  If found positive,  visit will turn in </w:t>
      </w:r>
      <w:bookmarkStart w:id="0" w:name="_GoBack"/>
      <w:bookmarkEnd w:id="0"/>
      <w:r w:rsidR="00B57A9E">
        <w:rPr>
          <w:rFonts w:ascii="Garamond" w:hAnsi="Garamond"/>
          <w:b/>
          <w:sz w:val="22"/>
          <w:szCs w:val="22"/>
          <w:u w:val="none"/>
        </w:rPr>
        <w:t>into a co-visit</w:t>
      </w:r>
      <w:r w:rsidRPr="00A944C6">
        <w:rPr>
          <w:rFonts w:ascii="Garamond" w:hAnsi="Garamond"/>
          <w:b/>
          <w:sz w:val="22"/>
          <w:szCs w:val="22"/>
          <w:u w:val="none"/>
        </w:rPr>
        <w:t>.</w:t>
      </w:r>
    </w:p>
    <w:p w:rsidR="00ED78AD" w:rsidRPr="00A944C6" w:rsidRDefault="00ED78AD" w:rsidP="00FD492C">
      <w:pPr>
        <w:pStyle w:val="Subtitle"/>
        <w:spacing w:before="20" w:after="20" w:line="480" w:lineRule="auto"/>
        <w:jc w:val="center"/>
        <w:rPr>
          <w:rFonts w:ascii="Garamond" w:hAnsi="Garamond"/>
          <w:b/>
          <w:sz w:val="22"/>
          <w:szCs w:val="22"/>
          <w:u w:val="none"/>
        </w:rPr>
      </w:pPr>
    </w:p>
    <w:p w:rsidR="00ED78AD" w:rsidRPr="003E5D44" w:rsidRDefault="00ED78AD" w:rsidP="00FD492C">
      <w:pPr>
        <w:pStyle w:val="Subtitle"/>
        <w:spacing w:before="20" w:after="20" w:line="480" w:lineRule="auto"/>
        <w:rPr>
          <w:rFonts w:ascii="Garamond" w:hAnsi="Garamond"/>
          <w:b/>
          <w:smallCaps/>
          <w:sz w:val="22"/>
          <w:szCs w:val="22"/>
          <w:u w:val="none"/>
        </w:rPr>
      </w:pPr>
      <w:r w:rsidRPr="003E5D44">
        <w:rPr>
          <w:rFonts w:ascii="Garamond" w:hAnsi="Garamond"/>
          <w:b/>
          <w:smallCaps/>
          <w:sz w:val="22"/>
          <w:szCs w:val="22"/>
          <w:u w:val="none"/>
        </w:rPr>
        <w:t>Requirements for Reading Results</w:t>
      </w:r>
    </w:p>
    <w:p w:rsidR="00ED78AD" w:rsidRPr="003E5D44" w:rsidRDefault="00ED78AD" w:rsidP="00FD492C">
      <w:pPr>
        <w:numPr>
          <w:ilvl w:val="0"/>
          <w:numId w:val="1"/>
        </w:numPr>
        <w:tabs>
          <w:tab w:val="left" w:pos="360"/>
        </w:tabs>
        <w:spacing w:before="20" w:after="20" w:line="480" w:lineRule="auto"/>
        <w:rPr>
          <w:rFonts w:ascii="Garamond" w:hAnsi="Garamond"/>
          <w:sz w:val="22"/>
          <w:szCs w:val="22"/>
        </w:rPr>
      </w:pPr>
      <w:r w:rsidRPr="003E5D44">
        <w:rPr>
          <w:rFonts w:ascii="Garamond" w:hAnsi="Garamond"/>
          <w:sz w:val="22"/>
          <w:szCs w:val="22"/>
        </w:rPr>
        <w:t>Test should have been placed 48-72 hours prior to reading.</w:t>
      </w:r>
    </w:p>
    <w:p w:rsidR="00ED78AD" w:rsidRPr="003E5D44" w:rsidRDefault="00ED78AD" w:rsidP="00FD492C">
      <w:pPr>
        <w:numPr>
          <w:ilvl w:val="0"/>
          <w:numId w:val="1"/>
        </w:numPr>
        <w:tabs>
          <w:tab w:val="left" w:pos="360"/>
        </w:tabs>
        <w:spacing w:before="20" w:after="20" w:line="480" w:lineRule="auto"/>
        <w:rPr>
          <w:rFonts w:ascii="Garamond" w:hAnsi="Garamond"/>
          <w:sz w:val="22"/>
          <w:szCs w:val="22"/>
        </w:rPr>
      </w:pPr>
      <w:r w:rsidRPr="003E5D44">
        <w:rPr>
          <w:rFonts w:ascii="Garamond" w:hAnsi="Garamond"/>
          <w:sz w:val="22"/>
          <w:szCs w:val="22"/>
        </w:rPr>
        <w:t>If patient no-shows:</w:t>
      </w:r>
    </w:p>
    <w:p w:rsidR="00ED78AD" w:rsidRPr="003E5D44" w:rsidRDefault="00ED78AD" w:rsidP="00FD492C">
      <w:pPr>
        <w:numPr>
          <w:ilvl w:val="1"/>
          <w:numId w:val="1"/>
        </w:numPr>
        <w:tabs>
          <w:tab w:val="left" w:pos="360"/>
        </w:tabs>
        <w:spacing w:before="20" w:after="20" w:line="480" w:lineRule="auto"/>
        <w:rPr>
          <w:rFonts w:ascii="Garamond" w:hAnsi="Garamond"/>
          <w:sz w:val="22"/>
          <w:szCs w:val="22"/>
        </w:rPr>
      </w:pPr>
      <w:r w:rsidRPr="003E5D44">
        <w:rPr>
          <w:rFonts w:ascii="Garamond" w:hAnsi="Garamond"/>
          <w:sz w:val="22"/>
          <w:szCs w:val="22"/>
        </w:rPr>
        <w:t>positive test may sti</w:t>
      </w:r>
      <w:r>
        <w:rPr>
          <w:rFonts w:ascii="Garamond" w:hAnsi="Garamond"/>
          <w:sz w:val="22"/>
          <w:szCs w:val="22"/>
        </w:rPr>
        <w:t>ll be read up to 1 week later.</w:t>
      </w:r>
    </w:p>
    <w:p w:rsidR="00ED78AD" w:rsidRPr="003E5D44" w:rsidRDefault="00ED78AD" w:rsidP="00FD492C">
      <w:pPr>
        <w:numPr>
          <w:ilvl w:val="1"/>
          <w:numId w:val="1"/>
        </w:numPr>
        <w:tabs>
          <w:tab w:val="left" w:pos="360"/>
        </w:tabs>
        <w:spacing w:before="20" w:after="20" w:line="480" w:lineRule="auto"/>
        <w:rPr>
          <w:rFonts w:ascii="Garamond" w:hAnsi="Garamond"/>
          <w:sz w:val="22"/>
          <w:szCs w:val="22"/>
        </w:rPr>
      </w:pPr>
      <w:r w:rsidRPr="003E5D44">
        <w:rPr>
          <w:rFonts w:ascii="Garamond" w:hAnsi="Garamond"/>
          <w:sz w:val="22"/>
          <w:szCs w:val="22"/>
        </w:rPr>
        <w:t>negative reaction read beyond 72 hours is not valid and needs to be repeated in 1-3 weeks</w:t>
      </w:r>
    </w:p>
    <w:p w:rsidR="00ED78AD" w:rsidRPr="003E5D44" w:rsidRDefault="00ED78AD" w:rsidP="00FD492C">
      <w:pPr>
        <w:pStyle w:val="Subtitle"/>
        <w:spacing w:before="20" w:after="20" w:line="480" w:lineRule="auto"/>
        <w:rPr>
          <w:rFonts w:ascii="Garamond" w:hAnsi="Garamond"/>
          <w:b/>
          <w:smallCaps/>
          <w:sz w:val="22"/>
          <w:szCs w:val="22"/>
          <w:u w:val="none"/>
        </w:rPr>
      </w:pPr>
    </w:p>
    <w:p w:rsidR="00ED78AD" w:rsidRPr="00B34143" w:rsidRDefault="00ED78AD" w:rsidP="00FD492C">
      <w:pPr>
        <w:pStyle w:val="Subtitle"/>
        <w:spacing w:before="20" w:after="20" w:line="480" w:lineRule="auto"/>
        <w:rPr>
          <w:rFonts w:ascii="Garamond" w:hAnsi="Garamond"/>
          <w:b/>
          <w:smallCaps/>
          <w:sz w:val="22"/>
          <w:szCs w:val="22"/>
          <w:u w:val="none"/>
        </w:rPr>
      </w:pPr>
      <w:r w:rsidRPr="00B34143">
        <w:rPr>
          <w:rFonts w:ascii="Garamond" w:hAnsi="Garamond"/>
          <w:b/>
          <w:smallCaps/>
          <w:sz w:val="22"/>
          <w:szCs w:val="22"/>
          <w:u w:val="none"/>
        </w:rPr>
        <w:t>Subjective/Objective</w:t>
      </w:r>
    </w:p>
    <w:p w:rsidR="00ED78AD" w:rsidRPr="00F45D87" w:rsidRDefault="00ED78AD" w:rsidP="00FD492C">
      <w:pPr>
        <w:numPr>
          <w:ilvl w:val="0"/>
          <w:numId w:val="2"/>
        </w:numPr>
        <w:tabs>
          <w:tab w:val="left" w:pos="360"/>
        </w:tabs>
        <w:spacing w:before="20" w:after="20" w:line="480" w:lineRule="auto"/>
        <w:rPr>
          <w:rFonts w:ascii="Garamond" w:hAnsi="Garamond"/>
          <w:b/>
          <w:sz w:val="22"/>
          <w:szCs w:val="22"/>
        </w:rPr>
      </w:pPr>
      <w:r>
        <w:rPr>
          <w:rFonts w:ascii="Garamond" w:hAnsi="Garamond"/>
          <w:sz w:val="22"/>
          <w:szCs w:val="22"/>
        </w:rPr>
        <w:t xml:space="preserve">Repeating vitals unnecessary if they were within normal limits at time of PPD placement.  </w:t>
      </w:r>
    </w:p>
    <w:p w:rsidR="00ED78AD" w:rsidRPr="00B34143" w:rsidRDefault="00ED78AD" w:rsidP="00FD492C">
      <w:pPr>
        <w:numPr>
          <w:ilvl w:val="0"/>
          <w:numId w:val="2"/>
        </w:numPr>
        <w:tabs>
          <w:tab w:val="left" w:pos="360"/>
        </w:tabs>
        <w:spacing w:before="20" w:after="20" w:line="480" w:lineRule="auto"/>
        <w:rPr>
          <w:rFonts w:ascii="Garamond" w:hAnsi="Garamond"/>
          <w:b/>
          <w:sz w:val="22"/>
          <w:szCs w:val="22"/>
        </w:rPr>
      </w:pPr>
      <w:r w:rsidRPr="00B34143">
        <w:rPr>
          <w:rFonts w:ascii="Garamond" w:hAnsi="Garamond"/>
          <w:sz w:val="22"/>
          <w:szCs w:val="22"/>
        </w:rPr>
        <w:t xml:space="preserve">Symptoms of TB </w:t>
      </w:r>
      <w:r w:rsidRPr="00B34143">
        <w:rPr>
          <w:rFonts w:ascii="Garamond" w:hAnsi="Garamond"/>
          <w:b/>
          <w:sz w:val="22"/>
          <w:szCs w:val="22"/>
        </w:rPr>
        <w:t>(</w:t>
      </w:r>
      <w:r w:rsidRPr="00B34143">
        <w:rPr>
          <w:rFonts w:ascii="Garamond" w:hAnsi="Garamond"/>
          <w:b/>
          <w:smallCaps/>
          <w:sz w:val="22"/>
          <w:szCs w:val="22"/>
        </w:rPr>
        <w:t xml:space="preserve">if patient is coughing, place mask on patient </w:t>
      </w:r>
      <w:r w:rsidRPr="005C0ABB">
        <w:rPr>
          <w:rFonts w:ascii="Garamond" w:hAnsi="Garamond"/>
          <w:b/>
          <w:smallCaps/>
          <w:sz w:val="22"/>
          <w:szCs w:val="22"/>
        </w:rPr>
        <w:t>and yourself</w:t>
      </w:r>
      <w:r w:rsidRPr="00B34143">
        <w:rPr>
          <w:rFonts w:ascii="Garamond" w:hAnsi="Garamond"/>
          <w:b/>
          <w:smallCaps/>
          <w:sz w:val="22"/>
          <w:szCs w:val="22"/>
        </w:rPr>
        <w:t xml:space="preserve"> immediately</w:t>
      </w:r>
      <w:r w:rsidRPr="00B34143">
        <w:rPr>
          <w:rFonts w:ascii="Garamond" w:hAnsi="Garamond"/>
          <w:b/>
          <w:sz w:val="22"/>
          <w:szCs w:val="22"/>
        </w:rPr>
        <w:t>):</w:t>
      </w:r>
    </w:p>
    <w:p w:rsidR="00ED78AD" w:rsidRPr="00B34143" w:rsidRDefault="00ED78AD" w:rsidP="00FD492C">
      <w:pPr>
        <w:numPr>
          <w:ilvl w:val="1"/>
          <w:numId w:val="2"/>
        </w:numPr>
        <w:tabs>
          <w:tab w:val="left" w:pos="360"/>
        </w:tabs>
        <w:spacing w:before="20" w:after="20" w:line="480" w:lineRule="auto"/>
        <w:rPr>
          <w:rFonts w:ascii="Garamond" w:hAnsi="Garamond"/>
          <w:b/>
          <w:sz w:val="22"/>
          <w:szCs w:val="22"/>
        </w:rPr>
      </w:pPr>
      <w:r w:rsidRPr="00B34143">
        <w:rPr>
          <w:rFonts w:ascii="Garamond" w:hAnsi="Garamond"/>
          <w:sz w:val="22"/>
          <w:szCs w:val="22"/>
        </w:rPr>
        <w:t>Productive cough, chest pain, prolonged cough</w:t>
      </w:r>
      <w:r>
        <w:rPr>
          <w:rFonts w:ascii="Garamond" w:hAnsi="Garamond"/>
          <w:sz w:val="22"/>
          <w:szCs w:val="22"/>
        </w:rPr>
        <w:t xml:space="preserve"> (&gt;3 weeks)</w:t>
      </w:r>
      <w:r w:rsidRPr="00B34143">
        <w:rPr>
          <w:rFonts w:ascii="Garamond" w:hAnsi="Garamond"/>
          <w:sz w:val="22"/>
          <w:szCs w:val="22"/>
        </w:rPr>
        <w:t>, fatigue, enlarged lymph nodes, hemoptysis</w:t>
      </w:r>
      <w:r>
        <w:rPr>
          <w:rFonts w:ascii="Garamond" w:hAnsi="Garamond"/>
          <w:sz w:val="22"/>
          <w:szCs w:val="22"/>
        </w:rPr>
        <w:t xml:space="preserve"> (coughing up blood)</w:t>
      </w:r>
      <w:r w:rsidRPr="00B34143">
        <w:rPr>
          <w:rFonts w:ascii="Garamond" w:hAnsi="Garamond"/>
          <w:sz w:val="22"/>
          <w:szCs w:val="22"/>
        </w:rPr>
        <w:t>, night sweats, fever, chills, decreased appetite, or weight loss</w:t>
      </w:r>
    </w:p>
    <w:p w:rsidR="00ED78AD" w:rsidRPr="00B34143" w:rsidRDefault="00ED78AD" w:rsidP="00FD492C">
      <w:pPr>
        <w:numPr>
          <w:ilvl w:val="0"/>
          <w:numId w:val="2"/>
        </w:numPr>
        <w:tabs>
          <w:tab w:val="left" w:pos="360"/>
        </w:tabs>
        <w:spacing w:before="20" w:after="20" w:line="480" w:lineRule="auto"/>
        <w:rPr>
          <w:rFonts w:ascii="Garamond" w:hAnsi="Garamond"/>
          <w:sz w:val="22"/>
          <w:szCs w:val="22"/>
        </w:rPr>
      </w:pPr>
      <w:bookmarkStart w:id="1" w:name="OLE_LINK2"/>
      <w:r>
        <w:rPr>
          <w:rFonts w:ascii="Garamond" w:hAnsi="Garamond"/>
          <w:sz w:val="22"/>
          <w:szCs w:val="22"/>
        </w:rPr>
        <w:t>Review/screen patient for the following risks and document in chart if positive</w:t>
      </w:r>
      <w:r w:rsidRPr="00B34143">
        <w:rPr>
          <w:rFonts w:ascii="Garamond" w:hAnsi="Garamond"/>
          <w:sz w:val="22"/>
          <w:szCs w:val="22"/>
        </w:rPr>
        <w:t xml:space="preserve">: </w:t>
      </w:r>
    </w:p>
    <w:p w:rsidR="00ED78AD"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 xml:space="preserve">History of a previously positive PPD. </w:t>
      </w:r>
      <w:r w:rsidRPr="00A97270">
        <w:rPr>
          <w:rFonts w:ascii="Garamond" w:hAnsi="Garamond"/>
          <w:sz w:val="22"/>
          <w:szCs w:val="22"/>
        </w:rPr>
        <w:t>Consult with provider or nurse if patient has hx of positive PPD.</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sidRPr="00B34143">
        <w:rPr>
          <w:rFonts w:ascii="Garamond" w:hAnsi="Garamond"/>
          <w:sz w:val="22"/>
          <w:szCs w:val="22"/>
        </w:rPr>
        <w:t>History of exposure to foreign visitors in the home from a high-risk country including Asia, Africa, Latin America, Eastern Europe, Russia.</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sidRPr="00B34143">
        <w:rPr>
          <w:rFonts w:ascii="Garamond" w:hAnsi="Garamond"/>
          <w:sz w:val="22"/>
          <w:szCs w:val="22"/>
        </w:rPr>
        <w:t>HIV infected, immunosuppressed or before starting immunosuppressive therapy (e.g., chronic steroid use, TNF blockers</w:t>
      </w:r>
      <w:r>
        <w:rPr>
          <w:rFonts w:ascii="Garamond" w:hAnsi="Garamond"/>
          <w:sz w:val="22"/>
          <w:szCs w:val="22"/>
        </w:rPr>
        <w:t>**</w:t>
      </w:r>
      <w:r w:rsidRPr="00B34143">
        <w:rPr>
          <w:rFonts w:ascii="Garamond" w:hAnsi="Garamond"/>
          <w:sz w:val="22"/>
          <w:szCs w:val="22"/>
        </w:rPr>
        <w:t xml:space="preserve">, chemotherapy)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lastRenderedPageBreak/>
        <w:t xml:space="preserve">Homeless (see below for additional notes.) </w:t>
      </w:r>
      <w:r w:rsidRPr="00B34143">
        <w:rPr>
          <w:rFonts w:ascii="Garamond" w:hAnsi="Garamond"/>
          <w:sz w:val="22"/>
          <w:szCs w:val="22"/>
        </w:rPr>
        <w:t xml:space="preserve">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Staff member</w:t>
      </w:r>
      <w:r w:rsidRPr="00B34143">
        <w:rPr>
          <w:rFonts w:ascii="Garamond" w:hAnsi="Garamond"/>
          <w:sz w:val="22"/>
          <w:szCs w:val="22"/>
        </w:rPr>
        <w:t xml:space="preserve"> caring for high-risk populations (e.g., homeless shelters, drug/alcohol treatment facilities)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sidRPr="00B34143">
        <w:rPr>
          <w:rFonts w:ascii="Garamond" w:hAnsi="Garamond"/>
          <w:sz w:val="22"/>
          <w:szCs w:val="22"/>
        </w:rPr>
        <w:t>Health care wor</w:t>
      </w:r>
      <w:r>
        <w:rPr>
          <w:rFonts w:ascii="Garamond" w:hAnsi="Garamond"/>
          <w:sz w:val="22"/>
          <w:szCs w:val="22"/>
        </w:rPr>
        <w:t xml:space="preserve">ker (including </w:t>
      </w:r>
      <w:r w:rsidRPr="00B34143">
        <w:rPr>
          <w:rFonts w:ascii="Garamond" w:hAnsi="Garamond"/>
          <w:sz w:val="22"/>
          <w:szCs w:val="22"/>
        </w:rPr>
        <w:t xml:space="preserve">volunteers) in facilities that care for patients at risk for TB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Inmate</w:t>
      </w:r>
      <w:r w:rsidRPr="00B34143">
        <w:rPr>
          <w:rFonts w:ascii="Garamond" w:hAnsi="Garamond"/>
          <w:sz w:val="22"/>
          <w:szCs w:val="22"/>
        </w:rPr>
        <w:t xml:space="preserve"> and staff of jails and prisons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sidRPr="00B34143">
        <w:rPr>
          <w:rFonts w:ascii="Garamond" w:hAnsi="Garamond"/>
          <w:sz w:val="22"/>
          <w:szCs w:val="22"/>
        </w:rPr>
        <w:t xml:space="preserve">Foster </w:t>
      </w:r>
      <w:r>
        <w:rPr>
          <w:rFonts w:ascii="Garamond" w:hAnsi="Garamond"/>
          <w:sz w:val="22"/>
          <w:szCs w:val="22"/>
        </w:rPr>
        <w:t>child</w:t>
      </w:r>
      <w:r w:rsidRPr="00B34143">
        <w:rPr>
          <w:rFonts w:ascii="Garamond" w:hAnsi="Garamond"/>
          <w:sz w:val="22"/>
          <w:szCs w:val="22"/>
        </w:rPr>
        <w:t>,</w:t>
      </w:r>
      <w:r>
        <w:rPr>
          <w:rFonts w:ascii="Garamond" w:hAnsi="Garamond"/>
          <w:sz w:val="22"/>
          <w:szCs w:val="22"/>
        </w:rPr>
        <w:t xml:space="preserve"> but</w:t>
      </w:r>
      <w:r w:rsidRPr="00B34143">
        <w:rPr>
          <w:rFonts w:ascii="Garamond" w:hAnsi="Garamond"/>
          <w:sz w:val="22"/>
          <w:szCs w:val="22"/>
        </w:rPr>
        <w:t xml:space="preserve"> only if no history is available of prior exposures to active TB </w:t>
      </w:r>
    </w:p>
    <w:bookmarkEnd w:id="1"/>
    <w:p w:rsidR="00ED78AD" w:rsidRPr="003E5D44" w:rsidRDefault="00ED78AD" w:rsidP="00FD492C">
      <w:pPr>
        <w:tabs>
          <w:tab w:val="left" w:pos="360"/>
        </w:tabs>
        <w:spacing w:before="20" w:after="20" w:line="480" w:lineRule="auto"/>
        <w:rPr>
          <w:rFonts w:ascii="Garamond" w:hAnsi="Garamond"/>
          <w:sz w:val="22"/>
          <w:szCs w:val="22"/>
        </w:rPr>
      </w:pPr>
    </w:p>
    <w:p w:rsidR="00ED78AD" w:rsidRDefault="00ED78AD" w:rsidP="00FD492C">
      <w:pPr>
        <w:tabs>
          <w:tab w:val="left" w:pos="360"/>
        </w:tabs>
        <w:spacing w:before="20" w:after="20" w:line="480" w:lineRule="auto"/>
        <w:rPr>
          <w:rFonts w:ascii="Garamond" w:hAnsi="Garamond"/>
          <w:sz w:val="22"/>
          <w:szCs w:val="22"/>
        </w:rPr>
      </w:pPr>
      <w:bookmarkStart w:id="2" w:name="Assessment"/>
      <w:bookmarkEnd w:id="2"/>
      <w:r>
        <w:rPr>
          <w:rFonts w:ascii="Garamond" w:hAnsi="Garamond"/>
          <w:b/>
          <w:smallCaps/>
          <w:sz w:val="22"/>
          <w:szCs w:val="22"/>
        </w:rPr>
        <w:t>Assessment</w:t>
      </w:r>
    </w:p>
    <w:p w:rsidR="00ED78AD" w:rsidRDefault="00ED78AD" w:rsidP="00FD492C">
      <w:pPr>
        <w:numPr>
          <w:ilvl w:val="0"/>
          <w:numId w:val="2"/>
        </w:numPr>
        <w:tabs>
          <w:tab w:val="left" w:pos="360"/>
        </w:tabs>
        <w:spacing w:before="20" w:after="20" w:line="480" w:lineRule="auto"/>
        <w:rPr>
          <w:rFonts w:ascii="Garamond" w:hAnsi="Garamond"/>
          <w:sz w:val="22"/>
          <w:szCs w:val="22"/>
        </w:rPr>
      </w:pPr>
      <w:r>
        <w:rPr>
          <w:rFonts w:ascii="Garamond" w:hAnsi="Garamond"/>
          <w:sz w:val="22"/>
          <w:szCs w:val="22"/>
        </w:rPr>
        <w:t>PPD Tuberculosis Screening, Z 11.1, Pending Work Up</w:t>
      </w:r>
    </w:p>
    <w:p w:rsidR="00ED78AD" w:rsidRDefault="00ED78AD" w:rsidP="00FD492C">
      <w:pPr>
        <w:numPr>
          <w:ilvl w:val="0"/>
          <w:numId w:val="2"/>
        </w:numPr>
        <w:tabs>
          <w:tab w:val="left" w:pos="360"/>
        </w:tabs>
        <w:spacing w:before="20" w:after="20" w:line="480" w:lineRule="auto"/>
        <w:rPr>
          <w:rFonts w:ascii="Garamond" w:hAnsi="Garamond"/>
          <w:sz w:val="22"/>
          <w:szCs w:val="22"/>
        </w:rPr>
      </w:pPr>
      <w:r w:rsidRPr="00B34143">
        <w:rPr>
          <w:rFonts w:ascii="Garamond" w:hAnsi="Garamond"/>
          <w:sz w:val="22"/>
          <w:szCs w:val="22"/>
        </w:rPr>
        <w:t>Measure indurated (hard, swollen) area, across the forearm,</w:t>
      </w:r>
      <w:r>
        <w:rPr>
          <w:rFonts w:ascii="Garamond" w:hAnsi="Garamond"/>
          <w:sz w:val="22"/>
          <w:szCs w:val="22"/>
        </w:rPr>
        <w:t xml:space="preserve"> see </w:t>
      </w:r>
    </w:p>
    <w:p w:rsidR="00ED78AD" w:rsidRPr="00B34143" w:rsidRDefault="00ED78AD" w:rsidP="00FD492C">
      <w:pPr>
        <w:numPr>
          <w:ilvl w:val="0"/>
          <w:numId w:val="2"/>
        </w:numPr>
        <w:tabs>
          <w:tab w:val="left" w:pos="360"/>
        </w:tabs>
        <w:spacing w:before="20" w:after="20" w:line="480" w:lineRule="auto"/>
        <w:rPr>
          <w:rFonts w:ascii="Garamond" w:hAnsi="Garamond"/>
          <w:sz w:val="22"/>
          <w:szCs w:val="22"/>
        </w:rPr>
      </w:pPr>
      <w:r>
        <w:rPr>
          <w:rFonts w:ascii="Garamond" w:hAnsi="Garamond"/>
          <w:sz w:val="22"/>
          <w:szCs w:val="22"/>
        </w:rPr>
        <w:t>PPD c</w:t>
      </w:r>
      <w:r w:rsidRPr="00B34143">
        <w:rPr>
          <w:rFonts w:ascii="Garamond" w:hAnsi="Garamond"/>
          <w:sz w:val="22"/>
          <w:szCs w:val="22"/>
        </w:rPr>
        <w:t xml:space="preserve">onsidered </w:t>
      </w:r>
      <w:r w:rsidRPr="00D761A9">
        <w:rPr>
          <w:rFonts w:ascii="Garamond" w:hAnsi="Garamond"/>
          <w:b/>
          <w:sz w:val="22"/>
          <w:szCs w:val="22"/>
        </w:rPr>
        <w:t>positive</w:t>
      </w:r>
      <w:r w:rsidRPr="00B34143">
        <w:rPr>
          <w:rFonts w:ascii="Garamond" w:hAnsi="Garamond"/>
          <w:sz w:val="22"/>
          <w:szCs w:val="22"/>
        </w:rPr>
        <w:t xml:space="preserve"> if </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 xml:space="preserve">≥ 5mm and patient meets the criteria found </w:t>
      </w:r>
      <w:r w:rsidR="00E95194">
        <w:rPr>
          <w:rFonts w:ascii="Garamond" w:hAnsi="Garamond"/>
          <w:sz w:val="22"/>
          <w:szCs w:val="22"/>
        </w:rPr>
        <w:t>below</w:t>
      </w:r>
    </w:p>
    <w:p w:rsidR="00ED78AD" w:rsidRPr="00B34143"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 10mm see below.</w:t>
      </w:r>
    </w:p>
    <w:p w:rsidR="00ED78AD" w:rsidRDefault="00ED78AD" w:rsidP="00FD492C">
      <w:pPr>
        <w:numPr>
          <w:ilvl w:val="1"/>
          <w:numId w:val="2"/>
        </w:numPr>
        <w:tabs>
          <w:tab w:val="left" w:pos="360"/>
        </w:tabs>
        <w:spacing w:before="20" w:after="20" w:line="480" w:lineRule="auto"/>
        <w:rPr>
          <w:rFonts w:ascii="Garamond" w:hAnsi="Garamond"/>
          <w:sz w:val="22"/>
          <w:szCs w:val="22"/>
        </w:rPr>
      </w:pPr>
      <w:r>
        <w:rPr>
          <w:rFonts w:ascii="Garamond" w:hAnsi="Garamond"/>
          <w:sz w:val="22"/>
          <w:szCs w:val="22"/>
        </w:rPr>
        <w:t>≥ 15mm</w:t>
      </w:r>
      <w:r w:rsidRPr="00B34143">
        <w:rPr>
          <w:rFonts w:ascii="Garamond" w:hAnsi="Garamond"/>
          <w:sz w:val="22"/>
          <w:szCs w:val="22"/>
        </w:rPr>
        <w:t xml:space="preserve"> for a</w:t>
      </w:r>
      <w:r>
        <w:rPr>
          <w:rFonts w:ascii="Garamond" w:hAnsi="Garamond"/>
          <w:sz w:val="22"/>
          <w:szCs w:val="22"/>
        </w:rPr>
        <w:t>ll other individuals, see below.</w:t>
      </w:r>
    </w:p>
    <w:p w:rsidR="00ED78AD" w:rsidRDefault="00ED78AD" w:rsidP="00FD492C">
      <w:pPr>
        <w:numPr>
          <w:ilvl w:val="0"/>
          <w:numId w:val="2"/>
        </w:numPr>
        <w:tabs>
          <w:tab w:val="left" w:pos="360"/>
        </w:tabs>
        <w:spacing w:before="20" w:after="20" w:line="480" w:lineRule="auto"/>
        <w:rPr>
          <w:rFonts w:ascii="Garamond" w:hAnsi="Garamond"/>
          <w:sz w:val="22"/>
          <w:szCs w:val="22"/>
        </w:rPr>
      </w:pPr>
      <w:r w:rsidRPr="00B34143">
        <w:rPr>
          <w:rFonts w:ascii="Garamond" w:hAnsi="Garamond"/>
          <w:sz w:val="22"/>
          <w:szCs w:val="22"/>
        </w:rPr>
        <w:t xml:space="preserve">Document all results (even negative) in mm.  Examples are 0mm or 5mm.  </w:t>
      </w:r>
    </w:p>
    <w:p w:rsidR="00FD492C" w:rsidRDefault="00FD492C" w:rsidP="00FD492C">
      <w:pPr>
        <w:tabs>
          <w:tab w:val="left" w:pos="360"/>
        </w:tabs>
        <w:spacing w:before="20" w:after="20" w:line="480" w:lineRule="auto"/>
        <w:rPr>
          <w:rFonts w:ascii="Garamond" w:hAnsi="Garamond"/>
          <w:sz w:val="22"/>
          <w:szCs w:val="22"/>
        </w:rPr>
      </w:pPr>
    </w:p>
    <w:p w:rsidR="00FD492C" w:rsidRDefault="00FD492C" w:rsidP="00FD492C">
      <w:pPr>
        <w:tabs>
          <w:tab w:val="left" w:pos="360"/>
        </w:tabs>
        <w:spacing w:before="20" w:after="20" w:line="480" w:lineRule="auto"/>
        <w:rPr>
          <w:rFonts w:ascii="Garamond" w:hAnsi="Garamond"/>
          <w:sz w:val="22"/>
          <w:szCs w:val="22"/>
        </w:rPr>
      </w:pPr>
    </w:p>
    <w:p w:rsidR="00FD492C" w:rsidRDefault="00FD492C" w:rsidP="00FD492C">
      <w:pPr>
        <w:tabs>
          <w:tab w:val="left" w:pos="360"/>
        </w:tabs>
        <w:spacing w:before="20" w:after="20" w:line="480" w:lineRule="auto"/>
        <w:rPr>
          <w:rFonts w:ascii="Garamond" w:hAnsi="Garamond"/>
          <w:sz w:val="22"/>
          <w:szCs w:val="22"/>
        </w:rPr>
      </w:pPr>
    </w:p>
    <w:p w:rsidR="00FD492C" w:rsidRDefault="00FD492C" w:rsidP="00FD492C">
      <w:pPr>
        <w:tabs>
          <w:tab w:val="left" w:pos="360"/>
        </w:tabs>
        <w:spacing w:before="20" w:after="20" w:line="480" w:lineRule="auto"/>
        <w:rPr>
          <w:rFonts w:ascii="Garamond" w:hAnsi="Garamond"/>
          <w:sz w:val="22"/>
          <w:szCs w:val="22"/>
        </w:rPr>
      </w:pPr>
    </w:p>
    <w:tbl>
      <w:tblPr>
        <w:tblW w:w="5000" w:type="pct"/>
        <w:tblCellMar>
          <w:top w:w="15" w:type="dxa"/>
          <w:left w:w="15" w:type="dxa"/>
          <w:bottom w:w="15" w:type="dxa"/>
          <w:right w:w="15" w:type="dxa"/>
        </w:tblCellMar>
        <w:tblLook w:val="04A0" w:firstRow="1" w:lastRow="0" w:firstColumn="1" w:lastColumn="0" w:noHBand="0" w:noVBand="1"/>
      </w:tblPr>
      <w:tblGrid>
        <w:gridCol w:w="3537"/>
        <w:gridCol w:w="3633"/>
        <w:gridCol w:w="2390"/>
      </w:tblGrid>
      <w:tr w:rsidR="00FD492C" w:rsidRPr="00FD492C" w:rsidTr="00FD492C">
        <w:trPr>
          <w:tblHeader/>
        </w:trPr>
        <w:tc>
          <w:tcPr>
            <w:tcW w:w="5000" w:type="pct"/>
            <w:gridSpan w:val="3"/>
            <w:tcBorders>
              <w:top w:val="single" w:sz="4" w:space="0" w:color="DDDDDD"/>
            </w:tcBorders>
            <w:shd w:val="clear" w:color="auto" w:fill="auto"/>
            <w:tcMar>
              <w:top w:w="100" w:type="dxa"/>
              <w:left w:w="100" w:type="dxa"/>
              <w:bottom w:w="100" w:type="dxa"/>
              <w:right w:w="100" w:type="dxa"/>
            </w:tcMar>
            <w:vAlign w:val="bottom"/>
            <w:hideMark/>
          </w:tcPr>
          <w:p w:rsidR="00FD492C" w:rsidRPr="00FD492C" w:rsidRDefault="00FD492C" w:rsidP="00FD492C">
            <w:pPr>
              <w:spacing w:after="250" w:line="480" w:lineRule="auto"/>
              <w:rPr>
                <w:rFonts w:ascii="Helvetica" w:hAnsi="Helvetica" w:cs="Helvetica"/>
                <w:b/>
                <w:bCs/>
                <w:color w:val="333333"/>
                <w:sz w:val="18"/>
                <w:szCs w:val="18"/>
              </w:rPr>
            </w:pPr>
            <w:r w:rsidRPr="00FD492C">
              <w:rPr>
                <w:rFonts w:ascii="Lato" w:hAnsi="Lato" w:cs="Helvetica"/>
                <w:b/>
                <w:bCs/>
                <w:color w:val="333333"/>
                <w:sz w:val="18"/>
              </w:rPr>
              <w:t>Classification of the Tuberculin Skin Test Reaction</w:t>
            </w:r>
          </w:p>
        </w:tc>
      </w:tr>
      <w:tr w:rsidR="00FD492C" w:rsidRPr="00FD492C" w:rsidTr="00FD492C">
        <w:tc>
          <w:tcPr>
            <w:tcW w:w="1850" w:type="pct"/>
            <w:tcBorders>
              <w:top w:val="single" w:sz="4" w:space="0" w:color="DDDDDD"/>
            </w:tcBorders>
            <w:shd w:val="clear" w:color="auto" w:fill="auto"/>
            <w:tcMar>
              <w:top w:w="100" w:type="dxa"/>
              <w:left w:w="100" w:type="dxa"/>
              <w:bottom w:w="100" w:type="dxa"/>
              <w:right w:w="100" w:type="dxa"/>
            </w:tcMar>
            <w:hideMark/>
          </w:tcPr>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 xml:space="preserve">An </w:t>
            </w:r>
            <w:r w:rsidRPr="00FD492C">
              <w:rPr>
                <w:rFonts w:ascii="Lato" w:hAnsi="Lato" w:cs="Helvetica"/>
                <w:b/>
                <w:bCs/>
                <w:color w:val="333333"/>
                <w:sz w:val="18"/>
              </w:rPr>
              <w:t>induration of 5 or more millimeters</w:t>
            </w:r>
            <w:r w:rsidRPr="00FD492C">
              <w:rPr>
                <w:rFonts w:ascii="Helvetica" w:hAnsi="Helvetica" w:cs="Helvetica"/>
                <w:color w:val="333333"/>
                <w:sz w:val="18"/>
                <w:szCs w:val="18"/>
              </w:rPr>
              <w:t xml:space="preserve"> is considered positive in</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-HIV-infected persons</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lastRenderedPageBreak/>
              <w:t>-A recent contact of a person with TB disease</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-Persons with fibrotic changes on chest radiograph consistent with prior TB</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-Patients with organ transplants</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-Persons who are immunosuppressed for other reasons (e.g., taking the equivalent of &gt;15 mg/day of prednisone for 1 month or longer, taking TNF-</w:t>
            </w:r>
            <w:r w:rsidRPr="00FD492C">
              <w:rPr>
                <w:rFonts w:ascii="Symbol" w:hAnsi="Symbol" w:cs="Helvetica"/>
                <w:color w:val="333333"/>
                <w:sz w:val="18"/>
                <w:szCs w:val="18"/>
              </w:rPr>
              <w:t></w:t>
            </w:r>
            <w:r w:rsidRPr="00FD492C">
              <w:rPr>
                <w:rFonts w:ascii="Helvetica" w:hAnsi="Helvetica" w:cs="Helvetica"/>
                <w:color w:val="333333"/>
                <w:sz w:val="18"/>
                <w:szCs w:val="18"/>
              </w:rPr>
              <w:t xml:space="preserve"> antagonists)</w:t>
            </w:r>
          </w:p>
        </w:tc>
        <w:tc>
          <w:tcPr>
            <w:tcW w:w="1900" w:type="pct"/>
            <w:tcBorders>
              <w:top w:val="single" w:sz="4" w:space="0" w:color="DDDDDD"/>
            </w:tcBorders>
            <w:shd w:val="clear" w:color="auto" w:fill="auto"/>
            <w:tcMar>
              <w:top w:w="100" w:type="dxa"/>
              <w:left w:w="100" w:type="dxa"/>
              <w:bottom w:w="100" w:type="dxa"/>
              <w:right w:w="100" w:type="dxa"/>
            </w:tcMar>
            <w:hideMark/>
          </w:tcPr>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lastRenderedPageBreak/>
              <w:t xml:space="preserve">An </w:t>
            </w:r>
            <w:r w:rsidRPr="00FD492C">
              <w:rPr>
                <w:rFonts w:ascii="Lato" w:hAnsi="Lato" w:cs="Helvetica"/>
                <w:b/>
                <w:bCs/>
                <w:color w:val="333333"/>
                <w:sz w:val="18"/>
              </w:rPr>
              <w:t>induration of 10 or more millimeters</w:t>
            </w:r>
            <w:r w:rsidRPr="00FD492C">
              <w:rPr>
                <w:rFonts w:ascii="Helvetica" w:hAnsi="Helvetica" w:cs="Helvetica"/>
                <w:color w:val="333333"/>
                <w:sz w:val="18"/>
                <w:szCs w:val="18"/>
              </w:rPr>
              <w:t xml:space="preserve"> is considered positive in</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-Recent immigrants (&lt; 5 years) from high-</w:t>
            </w:r>
            <w:r w:rsidRPr="00FD492C">
              <w:rPr>
                <w:rFonts w:ascii="Helvetica" w:hAnsi="Helvetica" w:cs="Helvetica"/>
                <w:color w:val="333333"/>
                <w:sz w:val="18"/>
                <w:szCs w:val="18"/>
              </w:rPr>
              <w:lastRenderedPageBreak/>
              <w:t>prevalence countries</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-Injection drug users</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-Residents and employees of high-risk congregate settings</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-Mycobacteriology laboratory personnel</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-Persons with clinical conditions that place them at high risk</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-Children &lt; 4 years of age</w:t>
            </w:r>
          </w:p>
          <w:p w:rsidR="00FD492C" w:rsidRPr="00FD492C" w:rsidRDefault="00FD492C" w:rsidP="00FD492C">
            <w:pPr>
              <w:spacing w:after="240" w:line="480" w:lineRule="auto"/>
              <w:rPr>
                <w:rFonts w:ascii="Helvetica" w:hAnsi="Helvetica" w:cs="Helvetica"/>
                <w:color w:val="333333"/>
                <w:sz w:val="18"/>
                <w:szCs w:val="18"/>
              </w:rPr>
            </w:pPr>
            <w:r w:rsidRPr="00FD492C">
              <w:rPr>
                <w:rFonts w:ascii="Helvetica" w:hAnsi="Helvetica" w:cs="Helvetica"/>
                <w:color w:val="333333"/>
                <w:sz w:val="18"/>
                <w:szCs w:val="18"/>
              </w:rPr>
              <w:t>- Infants, children, and adolescents exposed to adults in high-risk categories</w:t>
            </w:r>
          </w:p>
        </w:tc>
        <w:tc>
          <w:tcPr>
            <w:tcW w:w="1250" w:type="pct"/>
            <w:tcBorders>
              <w:top w:val="single" w:sz="4" w:space="0" w:color="DDDDDD"/>
            </w:tcBorders>
            <w:shd w:val="clear" w:color="auto" w:fill="auto"/>
            <w:tcMar>
              <w:top w:w="100" w:type="dxa"/>
              <w:left w:w="100" w:type="dxa"/>
              <w:bottom w:w="100" w:type="dxa"/>
              <w:right w:w="100" w:type="dxa"/>
            </w:tcMar>
            <w:hideMark/>
          </w:tcPr>
          <w:p w:rsidR="00FD492C" w:rsidRPr="00FD492C" w:rsidRDefault="00FD492C" w:rsidP="00FD492C">
            <w:pPr>
              <w:spacing w:line="480" w:lineRule="auto"/>
              <w:rPr>
                <w:rFonts w:ascii="Helvetica" w:hAnsi="Helvetica" w:cs="Helvetica"/>
                <w:color w:val="333333"/>
                <w:sz w:val="18"/>
                <w:szCs w:val="18"/>
              </w:rPr>
            </w:pPr>
            <w:r w:rsidRPr="00FD492C">
              <w:rPr>
                <w:rFonts w:ascii="Helvetica" w:hAnsi="Helvetica" w:cs="Helvetica"/>
                <w:color w:val="333333"/>
                <w:sz w:val="18"/>
                <w:szCs w:val="18"/>
              </w:rPr>
              <w:lastRenderedPageBreak/>
              <w:t xml:space="preserve">&gt;An </w:t>
            </w:r>
            <w:r w:rsidRPr="00FD492C">
              <w:rPr>
                <w:rFonts w:ascii="Lato" w:hAnsi="Lato" w:cs="Helvetica"/>
                <w:b/>
                <w:bCs/>
                <w:color w:val="333333"/>
                <w:sz w:val="18"/>
              </w:rPr>
              <w:t>induration of 15 or more millimeters</w:t>
            </w:r>
            <w:r w:rsidRPr="00FD492C">
              <w:rPr>
                <w:rFonts w:ascii="Helvetica" w:hAnsi="Helvetica" w:cs="Helvetica"/>
                <w:color w:val="333333"/>
                <w:sz w:val="18"/>
                <w:szCs w:val="18"/>
              </w:rPr>
              <w:t xml:space="preserve"> is considered positive in any person, including persons </w:t>
            </w:r>
            <w:r w:rsidRPr="00FD492C">
              <w:rPr>
                <w:rFonts w:ascii="Helvetica" w:hAnsi="Helvetica" w:cs="Helvetica"/>
                <w:color w:val="333333"/>
                <w:sz w:val="18"/>
                <w:szCs w:val="18"/>
              </w:rPr>
              <w:lastRenderedPageBreak/>
              <w:t>with no known risk factors for TB. However, targeted skin testing programs should only be conducted among high-risk groups.</w:t>
            </w:r>
          </w:p>
        </w:tc>
      </w:tr>
    </w:tbl>
    <w:p w:rsidR="00FD492C" w:rsidRDefault="00FD492C" w:rsidP="00FD492C">
      <w:pPr>
        <w:tabs>
          <w:tab w:val="left" w:pos="360"/>
        </w:tabs>
        <w:spacing w:before="20" w:after="20" w:line="480" w:lineRule="auto"/>
        <w:rPr>
          <w:rFonts w:ascii="Garamond" w:hAnsi="Garamond"/>
          <w:sz w:val="22"/>
          <w:szCs w:val="22"/>
        </w:rPr>
      </w:pPr>
    </w:p>
    <w:p w:rsidR="00E95194" w:rsidRPr="00B34143" w:rsidRDefault="00E95194" w:rsidP="00FD492C">
      <w:pPr>
        <w:tabs>
          <w:tab w:val="left" w:pos="360"/>
        </w:tabs>
        <w:spacing w:before="20" w:after="20" w:line="480" w:lineRule="auto"/>
        <w:ind w:left="720"/>
        <w:rPr>
          <w:rFonts w:ascii="Garamond" w:hAnsi="Garamond"/>
          <w:sz w:val="22"/>
          <w:szCs w:val="22"/>
        </w:rPr>
      </w:pPr>
    </w:p>
    <w:p w:rsidR="00ED78AD" w:rsidRPr="00EB110C" w:rsidRDefault="00ED78AD" w:rsidP="00FD492C">
      <w:pPr>
        <w:pStyle w:val="Subtitle"/>
        <w:spacing w:before="20" w:after="20" w:line="480" w:lineRule="auto"/>
        <w:rPr>
          <w:rFonts w:ascii="Garamond" w:hAnsi="Garamond"/>
          <w:b/>
          <w:smallCaps/>
          <w:sz w:val="22"/>
          <w:szCs w:val="22"/>
          <w:u w:val="none"/>
        </w:rPr>
      </w:pPr>
      <w:r>
        <w:rPr>
          <w:rFonts w:ascii="Garamond" w:hAnsi="Garamond"/>
          <w:b/>
          <w:smallCaps/>
          <w:sz w:val="22"/>
          <w:szCs w:val="22"/>
          <w:u w:val="none"/>
        </w:rPr>
        <w:t>Positive PPD (R76.11)</w:t>
      </w:r>
    </w:p>
    <w:p w:rsidR="00ED78AD" w:rsidRPr="003E5D44" w:rsidRDefault="00ED78AD" w:rsidP="00FD492C">
      <w:pPr>
        <w:numPr>
          <w:ilvl w:val="0"/>
          <w:numId w:val="2"/>
        </w:numPr>
        <w:tabs>
          <w:tab w:val="left" w:pos="360"/>
        </w:tabs>
        <w:spacing w:before="20" w:after="20" w:line="480" w:lineRule="auto"/>
        <w:rPr>
          <w:rFonts w:ascii="Garamond" w:hAnsi="Garamond"/>
          <w:b/>
          <w:sz w:val="22"/>
          <w:szCs w:val="22"/>
        </w:rPr>
      </w:pPr>
      <w:r>
        <w:rPr>
          <w:rFonts w:ascii="Garamond" w:hAnsi="Garamond"/>
          <w:b/>
          <w:i/>
          <w:sz w:val="22"/>
          <w:szCs w:val="22"/>
        </w:rPr>
        <w:t xml:space="preserve">Place patient in isolation </w:t>
      </w:r>
      <w:r w:rsidRPr="00DF2EF9">
        <w:rPr>
          <w:rFonts w:ascii="Garamond" w:hAnsi="Garamond"/>
          <w:b/>
          <w:i/>
          <w:sz w:val="22"/>
          <w:szCs w:val="22"/>
        </w:rPr>
        <w:t>room if available</w:t>
      </w:r>
      <w:r>
        <w:rPr>
          <w:rFonts w:ascii="Garamond" w:hAnsi="Garamond"/>
          <w:b/>
          <w:sz w:val="22"/>
          <w:szCs w:val="22"/>
        </w:rPr>
        <w:t xml:space="preserve">, </w:t>
      </w:r>
      <w:r>
        <w:rPr>
          <w:rFonts w:ascii="Garamond" w:hAnsi="Garamond"/>
          <w:b/>
          <w:i/>
          <w:sz w:val="22"/>
          <w:szCs w:val="22"/>
        </w:rPr>
        <w:t>(room #10)</w:t>
      </w:r>
    </w:p>
    <w:p w:rsidR="00ED78AD" w:rsidRDefault="00ED78AD" w:rsidP="00FD492C">
      <w:pPr>
        <w:numPr>
          <w:ilvl w:val="0"/>
          <w:numId w:val="2"/>
        </w:numPr>
        <w:spacing w:before="20" w:after="20" w:line="480" w:lineRule="auto"/>
        <w:rPr>
          <w:rFonts w:ascii="Garamond" w:hAnsi="Garamond"/>
          <w:sz w:val="22"/>
          <w:szCs w:val="22"/>
        </w:rPr>
      </w:pPr>
      <w:r w:rsidRPr="003E5D44">
        <w:rPr>
          <w:rFonts w:ascii="Garamond" w:hAnsi="Garamond"/>
          <w:sz w:val="22"/>
          <w:szCs w:val="22"/>
        </w:rPr>
        <w:t>Any patient with a positive test should be sent for a chest x-ray unless patient is in the first trimester of pregnancy. In this case the patient should b</w:t>
      </w:r>
      <w:r>
        <w:rPr>
          <w:rFonts w:ascii="Garamond" w:hAnsi="Garamond"/>
          <w:sz w:val="22"/>
          <w:szCs w:val="22"/>
        </w:rPr>
        <w:t>e sent during the 2</w:t>
      </w:r>
      <w:r w:rsidRPr="00BA1154">
        <w:rPr>
          <w:rFonts w:ascii="Garamond" w:hAnsi="Garamond"/>
          <w:sz w:val="22"/>
          <w:szCs w:val="22"/>
          <w:vertAlign w:val="superscript"/>
        </w:rPr>
        <w:t>nd</w:t>
      </w:r>
      <w:r>
        <w:rPr>
          <w:rFonts w:ascii="Garamond" w:hAnsi="Garamond"/>
          <w:sz w:val="22"/>
          <w:szCs w:val="22"/>
        </w:rPr>
        <w:t xml:space="preserve"> </w:t>
      </w:r>
      <w:r w:rsidRPr="003E5D44">
        <w:rPr>
          <w:rFonts w:ascii="Garamond" w:hAnsi="Garamond"/>
          <w:sz w:val="22"/>
          <w:szCs w:val="22"/>
        </w:rPr>
        <w:t xml:space="preserve">trimester. </w:t>
      </w:r>
    </w:p>
    <w:p w:rsidR="00ED78AD" w:rsidRPr="003E5D44" w:rsidRDefault="00ED78AD" w:rsidP="00FD492C">
      <w:pPr>
        <w:numPr>
          <w:ilvl w:val="1"/>
          <w:numId w:val="2"/>
        </w:numPr>
        <w:spacing w:before="20" w:after="20" w:line="480" w:lineRule="auto"/>
        <w:rPr>
          <w:rFonts w:ascii="Garamond" w:hAnsi="Garamond"/>
          <w:sz w:val="22"/>
          <w:szCs w:val="22"/>
        </w:rPr>
      </w:pPr>
      <w:r w:rsidRPr="00DF2EF9">
        <w:rPr>
          <w:rFonts w:ascii="Garamond" w:hAnsi="Garamond"/>
          <w:sz w:val="22"/>
          <w:szCs w:val="22"/>
        </w:rPr>
        <w:t>If the pregnant patient is a contact</w:t>
      </w:r>
      <w:r w:rsidRPr="003E5D44">
        <w:rPr>
          <w:rFonts w:ascii="Garamond" w:hAnsi="Garamond"/>
          <w:sz w:val="22"/>
          <w:szCs w:val="22"/>
        </w:rPr>
        <w:t xml:space="preserve"> or has symptoms of TB the provider should be consulted right away to decide </w:t>
      </w:r>
      <w:r>
        <w:rPr>
          <w:rFonts w:ascii="Garamond" w:hAnsi="Garamond"/>
          <w:sz w:val="22"/>
          <w:szCs w:val="22"/>
        </w:rPr>
        <w:t xml:space="preserve">if </w:t>
      </w:r>
      <w:r w:rsidRPr="003E5D44">
        <w:rPr>
          <w:rFonts w:ascii="Garamond" w:hAnsi="Garamond"/>
          <w:sz w:val="22"/>
          <w:szCs w:val="22"/>
        </w:rPr>
        <w:t>she should have the chest x-ray anyway.</w:t>
      </w:r>
    </w:p>
    <w:p w:rsidR="00ED78AD" w:rsidRPr="003E48A9" w:rsidRDefault="00ED78AD" w:rsidP="00FD492C">
      <w:pPr>
        <w:pStyle w:val="Title"/>
        <w:numPr>
          <w:ilvl w:val="0"/>
          <w:numId w:val="2"/>
        </w:numPr>
        <w:spacing w:before="20" w:after="20" w:line="480" w:lineRule="auto"/>
        <w:jc w:val="left"/>
        <w:rPr>
          <w:rFonts w:ascii="Garamond" w:hAnsi="Garamond"/>
          <w:b w:val="0"/>
          <w:sz w:val="22"/>
          <w:szCs w:val="22"/>
        </w:rPr>
      </w:pPr>
      <w:r w:rsidRPr="003E5D44">
        <w:rPr>
          <w:rFonts w:ascii="Garamond" w:hAnsi="Garamond"/>
          <w:sz w:val="22"/>
          <w:szCs w:val="22"/>
        </w:rPr>
        <w:t xml:space="preserve">Chest x-ray should be PA and Lat for patients </w:t>
      </w:r>
      <w:r w:rsidRPr="003E5D44">
        <w:rPr>
          <w:rFonts w:ascii="Garamond" w:hAnsi="Garamond"/>
          <w:sz w:val="22"/>
          <w:szCs w:val="22"/>
          <w:u w:val="single"/>
        </w:rPr>
        <w:t>&lt;</w:t>
      </w:r>
      <w:r w:rsidRPr="003E5D44">
        <w:rPr>
          <w:rFonts w:ascii="Garamond" w:hAnsi="Garamond"/>
          <w:sz w:val="22"/>
          <w:szCs w:val="22"/>
        </w:rPr>
        <w:t xml:space="preserve"> 12 years old, all others should be PA only.</w:t>
      </w:r>
    </w:p>
    <w:p w:rsidR="00ED78AD" w:rsidRPr="006F6C36" w:rsidRDefault="00ED78AD" w:rsidP="00FD492C">
      <w:pPr>
        <w:pStyle w:val="Title"/>
        <w:numPr>
          <w:ilvl w:val="1"/>
          <w:numId w:val="2"/>
        </w:numPr>
        <w:spacing w:before="20" w:after="20" w:line="480" w:lineRule="auto"/>
        <w:jc w:val="left"/>
        <w:rPr>
          <w:rFonts w:ascii="Garamond" w:hAnsi="Garamond"/>
          <w:b w:val="0"/>
          <w:sz w:val="22"/>
          <w:szCs w:val="22"/>
        </w:rPr>
      </w:pPr>
      <w:r w:rsidRPr="006F6C36">
        <w:rPr>
          <w:rFonts w:ascii="Garamond" w:hAnsi="Garamond"/>
          <w:b w:val="0"/>
          <w:sz w:val="22"/>
          <w:szCs w:val="22"/>
        </w:rPr>
        <w:t>Ask provider for chest X-Ray order (ICD 10 code, R76.11)</w:t>
      </w:r>
    </w:p>
    <w:p w:rsidR="00ED78AD" w:rsidRDefault="00ED78AD" w:rsidP="00FD492C">
      <w:pPr>
        <w:pStyle w:val="Title"/>
        <w:numPr>
          <w:ilvl w:val="1"/>
          <w:numId w:val="2"/>
        </w:numPr>
        <w:spacing w:before="20" w:after="20" w:line="480" w:lineRule="auto"/>
        <w:jc w:val="left"/>
        <w:rPr>
          <w:rFonts w:ascii="Garamond" w:hAnsi="Garamond"/>
          <w:b w:val="0"/>
          <w:sz w:val="22"/>
          <w:szCs w:val="22"/>
        </w:rPr>
      </w:pPr>
      <w:r w:rsidRPr="006F6C36">
        <w:rPr>
          <w:rFonts w:ascii="Garamond" w:hAnsi="Garamond"/>
          <w:b w:val="0"/>
          <w:sz w:val="22"/>
          <w:szCs w:val="22"/>
        </w:rPr>
        <w:t xml:space="preserve">Fax to DMI or appropriate radiology facility per patients insurance. </w:t>
      </w:r>
    </w:p>
    <w:p w:rsidR="00F67C44" w:rsidRPr="006F6C36" w:rsidRDefault="00F67C44" w:rsidP="00FD492C">
      <w:pPr>
        <w:pStyle w:val="Title"/>
        <w:spacing w:before="20" w:after="20" w:line="480" w:lineRule="auto"/>
        <w:jc w:val="left"/>
        <w:rPr>
          <w:rFonts w:ascii="Garamond" w:hAnsi="Garamond"/>
          <w:b w:val="0"/>
          <w:sz w:val="22"/>
          <w:szCs w:val="22"/>
        </w:rPr>
      </w:pPr>
    </w:p>
    <w:p w:rsidR="00F67C44" w:rsidRDefault="00F67C44" w:rsidP="00FD492C">
      <w:pPr>
        <w:spacing w:before="20" w:after="20" w:line="480" w:lineRule="auto"/>
        <w:rPr>
          <w:rFonts w:ascii="Garamond" w:hAnsi="Garamond"/>
          <w:b/>
          <w:smallCaps/>
          <w:sz w:val="22"/>
          <w:szCs w:val="22"/>
        </w:rPr>
      </w:pPr>
    </w:p>
    <w:p w:rsidR="00F67C44" w:rsidRPr="00EB110C" w:rsidRDefault="00F67C44" w:rsidP="00FD492C">
      <w:pPr>
        <w:pStyle w:val="Subtitle"/>
        <w:spacing w:before="20" w:after="20" w:line="480" w:lineRule="auto"/>
        <w:rPr>
          <w:rFonts w:ascii="Garamond" w:hAnsi="Garamond"/>
          <w:b/>
          <w:smallCaps/>
          <w:sz w:val="22"/>
          <w:szCs w:val="22"/>
          <w:u w:val="none"/>
        </w:rPr>
      </w:pPr>
      <w:bookmarkStart w:id="3" w:name="Chestxray"/>
      <w:bookmarkEnd w:id="3"/>
      <w:r w:rsidRPr="00EB110C">
        <w:rPr>
          <w:rFonts w:ascii="Garamond" w:hAnsi="Garamond"/>
          <w:b/>
          <w:smallCaps/>
          <w:sz w:val="22"/>
          <w:szCs w:val="22"/>
          <w:u w:val="none"/>
        </w:rPr>
        <w:t>Chest X-ray Results</w:t>
      </w:r>
      <w:r>
        <w:rPr>
          <w:rFonts w:ascii="Garamond" w:hAnsi="Garamond"/>
          <w:b/>
          <w:smallCaps/>
          <w:sz w:val="22"/>
          <w:szCs w:val="22"/>
          <w:u w:val="none"/>
        </w:rPr>
        <w:t xml:space="preserve">, see </w:t>
      </w:r>
      <w:r w:rsidRPr="00D62D48">
        <w:rPr>
          <w:rFonts w:ascii="Garamond" w:hAnsi="Garamond"/>
          <w:b/>
          <w:smallCaps/>
          <w:sz w:val="22"/>
          <w:szCs w:val="22"/>
          <w:u w:val="none"/>
        </w:rPr>
        <w:t>bel</w:t>
      </w:r>
      <w:r w:rsidR="00D62D48">
        <w:rPr>
          <w:rFonts w:ascii="Garamond" w:hAnsi="Garamond"/>
          <w:b/>
          <w:smallCaps/>
          <w:sz w:val="22"/>
          <w:szCs w:val="22"/>
          <w:u w:val="none"/>
        </w:rPr>
        <w:t>ow</w:t>
      </w:r>
    </w:p>
    <w:p w:rsidR="00F67C44" w:rsidRPr="00EB110C" w:rsidRDefault="00F67C44" w:rsidP="00FD492C">
      <w:pPr>
        <w:pStyle w:val="Title"/>
        <w:numPr>
          <w:ilvl w:val="0"/>
          <w:numId w:val="2"/>
        </w:numPr>
        <w:spacing w:before="20" w:after="20" w:line="480" w:lineRule="auto"/>
        <w:jc w:val="left"/>
        <w:rPr>
          <w:rFonts w:ascii="Garamond" w:hAnsi="Garamond"/>
          <w:b w:val="0"/>
          <w:sz w:val="22"/>
          <w:szCs w:val="22"/>
        </w:rPr>
      </w:pPr>
      <w:r w:rsidRPr="00EB110C">
        <w:rPr>
          <w:rFonts w:ascii="Garamond" w:hAnsi="Garamond"/>
          <w:bCs w:val="0"/>
          <w:sz w:val="22"/>
          <w:szCs w:val="22"/>
        </w:rPr>
        <w:t>Abnormal films</w:t>
      </w:r>
      <w:r w:rsidRPr="00EB110C">
        <w:rPr>
          <w:rFonts w:ascii="Garamond" w:hAnsi="Garamond"/>
          <w:sz w:val="22"/>
          <w:szCs w:val="22"/>
        </w:rPr>
        <w:t xml:space="preserve">. </w:t>
      </w:r>
      <w:r w:rsidRPr="00EB110C">
        <w:rPr>
          <w:rFonts w:ascii="Garamond" w:hAnsi="Garamond"/>
          <w:b w:val="0"/>
          <w:sz w:val="22"/>
          <w:szCs w:val="22"/>
        </w:rPr>
        <w:t>If the initial chest x-ray is abnormal and compatible with active or inact</w:t>
      </w:r>
      <w:r>
        <w:rPr>
          <w:rFonts w:ascii="Garamond" w:hAnsi="Garamond"/>
          <w:b w:val="0"/>
          <w:sz w:val="22"/>
          <w:szCs w:val="22"/>
        </w:rPr>
        <w:t xml:space="preserve">ive TB, send the patient to Orange County Health Care Agency </w:t>
      </w:r>
      <w:r w:rsidRPr="00EB110C">
        <w:rPr>
          <w:rFonts w:ascii="Garamond" w:hAnsi="Garamond"/>
          <w:b w:val="0"/>
          <w:sz w:val="22"/>
          <w:szCs w:val="22"/>
        </w:rPr>
        <w:t>for further evaluation.</w:t>
      </w:r>
      <w:r>
        <w:rPr>
          <w:rFonts w:ascii="Garamond" w:hAnsi="Garamond"/>
          <w:b w:val="0"/>
          <w:sz w:val="22"/>
          <w:szCs w:val="22"/>
        </w:rPr>
        <w:t xml:space="preserve">  They can f/u with PCP after treatment there.</w:t>
      </w:r>
    </w:p>
    <w:p w:rsidR="00F67C44" w:rsidRPr="00EB110C" w:rsidRDefault="00F67C44" w:rsidP="00FD492C">
      <w:pPr>
        <w:pStyle w:val="Title"/>
        <w:numPr>
          <w:ilvl w:val="0"/>
          <w:numId w:val="2"/>
        </w:numPr>
        <w:spacing w:before="20" w:after="20" w:line="480" w:lineRule="auto"/>
        <w:jc w:val="left"/>
        <w:rPr>
          <w:rFonts w:ascii="Garamond" w:hAnsi="Garamond"/>
          <w:b w:val="0"/>
          <w:sz w:val="22"/>
          <w:szCs w:val="22"/>
        </w:rPr>
      </w:pPr>
      <w:r w:rsidRPr="00EB110C">
        <w:rPr>
          <w:rFonts w:ascii="Garamond" w:hAnsi="Garamond"/>
          <w:bCs w:val="0"/>
          <w:sz w:val="22"/>
          <w:szCs w:val="22"/>
        </w:rPr>
        <w:t>Normal films</w:t>
      </w:r>
      <w:r w:rsidRPr="00EB110C">
        <w:rPr>
          <w:rFonts w:ascii="Garamond" w:hAnsi="Garamond"/>
          <w:sz w:val="22"/>
          <w:szCs w:val="22"/>
        </w:rPr>
        <w:t>.</w:t>
      </w:r>
      <w:r w:rsidRPr="00EB110C">
        <w:rPr>
          <w:rFonts w:ascii="Garamond" w:hAnsi="Garamond"/>
          <w:b w:val="0"/>
          <w:sz w:val="22"/>
          <w:szCs w:val="22"/>
        </w:rPr>
        <w:t xml:space="preserve"> </w:t>
      </w:r>
    </w:p>
    <w:p w:rsidR="00F67C44" w:rsidRDefault="00F67C44" w:rsidP="00FD492C">
      <w:pPr>
        <w:pStyle w:val="Title"/>
        <w:numPr>
          <w:ilvl w:val="1"/>
          <w:numId w:val="2"/>
        </w:numPr>
        <w:spacing w:before="20" w:after="20" w:line="480" w:lineRule="auto"/>
        <w:jc w:val="left"/>
        <w:rPr>
          <w:rFonts w:ascii="Garamond" w:hAnsi="Garamond"/>
          <w:b w:val="0"/>
          <w:sz w:val="22"/>
          <w:szCs w:val="22"/>
        </w:rPr>
      </w:pPr>
      <w:r w:rsidRPr="00EB110C">
        <w:rPr>
          <w:rFonts w:ascii="Garamond" w:hAnsi="Garamond"/>
          <w:b w:val="0"/>
          <w:sz w:val="22"/>
          <w:szCs w:val="22"/>
        </w:rPr>
        <w:t>If the initial chest x-ray is normal, the individual may receive their</w:t>
      </w:r>
      <w:r>
        <w:rPr>
          <w:rFonts w:ascii="Garamond" w:hAnsi="Garamond"/>
          <w:b w:val="0"/>
          <w:sz w:val="22"/>
          <w:szCs w:val="22"/>
        </w:rPr>
        <w:t xml:space="preserve"> LTBI treatment through Serve the People Community Health Center.</w:t>
      </w:r>
    </w:p>
    <w:p w:rsidR="00F67C44" w:rsidRPr="00EB110C" w:rsidRDefault="00F67C44" w:rsidP="00FD492C">
      <w:pPr>
        <w:pStyle w:val="Title"/>
        <w:numPr>
          <w:ilvl w:val="1"/>
          <w:numId w:val="2"/>
        </w:numPr>
        <w:spacing w:before="20" w:after="20" w:line="480" w:lineRule="auto"/>
        <w:jc w:val="left"/>
        <w:rPr>
          <w:rFonts w:ascii="Garamond" w:hAnsi="Garamond"/>
          <w:b w:val="0"/>
          <w:sz w:val="22"/>
          <w:szCs w:val="22"/>
        </w:rPr>
      </w:pPr>
      <w:r w:rsidRPr="00EB110C">
        <w:rPr>
          <w:rFonts w:ascii="Garamond" w:hAnsi="Garamond"/>
          <w:b w:val="0"/>
          <w:sz w:val="22"/>
          <w:szCs w:val="22"/>
        </w:rPr>
        <w:t xml:space="preserve">Repeat chest x-rays are not indicated unless the individual develops signs or symptoms of TB disease. </w:t>
      </w:r>
    </w:p>
    <w:p w:rsidR="00F67C44" w:rsidRPr="00EB110C" w:rsidRDefault="00F67C44" w:rsidP="00FD492C">
      <w:pPr>
        <w:pStyle w:val="Title"/>
        <w:numPr>
          <w:ilvl w:val="1"/>
          <w:numId w:val="2"/>
        </w:numPr>
        <w:spacing w:before="20" w:after="20" w:line="480" w:lineRule="auto"/>
        <w:jc w:val="left"/>
        <w:rPr>
          <w:rFonts w:ascii="Garamond" w:hAnsi="Garamond"/>
          <w:b w:val="0"/>
          <w:sz w:val="22"/>
          <w:szCs w:val="22"/>
        </w:rPr>
      </w:pPr>
      <w:r w:rsidRPr="00EB110C">
        <w:rPr>
          <w:rFonts w:ascii="Garamond" w:hAnsi="Garamond"/>
          <w:b w:val="0"/>
          <w:sz w:val="22"/>
          <w:szCs w:val="22"/>
        </w:rPr>
        <w:t>An</w:t>
      </w:r>
      <w:r>
        <w:rPr>
          <w:rFonts w:ascii="Garamond" w:hAnsi="Garamond"/>
          <w:b w:val="0"/>
          <w:sz w:val="22"/>
          <w:szCs w:val="22"/>
        </w:rPr>
        <w:t xml:space="preserve">yone considering LTBI tx </w:t>
      </w:r>
      <w:r w:rsidRPr="00EB110C">
        <w:rPr>
          <w:rFonts w:ascii="Garamond" w:hAnsi="Garamond"/>
          <w:b w:val="0"/>
          <w:sz w:val="22"/>
          <w:szCs w:val="22"/>
        </w:rPr>
        <w:t>should have a current chest x-ray to rule out active pulmonary TB disease.</w:t>
      </w:r>
    </w:p>
    <w:p w:rsidR="00F67C44" w:rsidRDefault="00F67C44" w:rsidP="00FD492C">
      <w:pPr>
        <w:pStyle w:val="Title"/>
        <w:numPr>
          <w:ilvl w:val="1"/>
          <w:numId w:val="2"/>
        </w:numPr>
        <w:spacing w:before="20" w:after="20" w:line="480" w:lineRule="auto"/>
        <w:jc w:val="left"/>
        <w:rPr>
          <w:rFonts w:ascii="Garamond" w:hAnsi="Garamond"/>
          <w:b w:val="0"/>
          <w:sz w:val="22"/>
          <w:szCs w:val="22"/>
        </w:rPr>
      </w:pPr>
      <w:r w:rsidRPr="00EB110C">
        <w:rPr>
          <w:rFonts w:ascii="Garamond" w:hAnsi="Garamond"/>
          <w:b w:val="0"/>
          <w:sz w:val="22"/>
          <w:szCs w:val="22"/>
        </w:rPr>
        <w:t>See treatment regimen below.</w:t>
      </w:r>
    </w:p>
    <w:p w:rsidR="00F67C44" w:rsidRPr="00EB110C" w:rsidRDefault="00F67C44" w:rsidP="00FD492C">
      <w:pPr>
        <w:pStyle w:val="Title"/>
        <w:numPr>
          <w:ilvl w:val="1"/>
          <w:numId w:val="2"/>
        </w:numPr>
        <w:spacing w:before="20" w:after="20" w:line="480" w:lineRule="auto"/>
        <w:jc w:val="left"/>
        <w:rPr>
          <w:rFonts w:ascii="Garamond" w:hAnsi="Garamond"/>
          <w:b w:val="0"/>
          <w:sz w:val="22"/>
          <w:szCs w:val="22"/>
        </w:rPr>
      </w:pPr>
      <w:r>
        <w:rPr>
          <w:rFonts w:ascii="Garamond" w:hAnsi="Garamond"/>
          <w:b w:val="0"/>
          <w:sz w:val="22"/>
          <w:szCs w:val="22"/>
        </w:rPr>
        <w:t xml:space="preserve">Please note, when screening for Homeless Shelter patients, a patient with a history of a positive ppd only needs a negative chest xray 2 years in a row.  Once negative x 2 years, they would not need an additional cxr unless they should become symptomatic.  </w:t>
      </w:r>
    </w:p>
    <w:p w:rsidR="00F67C44" w:rsidRPr="003E5D44" w:rsidRDefault="00F67C44" w:rsidP="00FD492C">
      <w:pPr>
        <w:pStyle w:val="Subtitle"/>
        <w:spacing w:before="20" w:after="20" w:line="480" w:lineRule="auto"/>
        <w:rPr>
          <w:rFonts w:ascii="Garamond" w:hAnsi="Garamond"/>
          <w:b/>
          <w:smallCaps/>
          <w:sz w:val="22"/>
          <w:szCs w:val="22"/>
          <w:u w:val="none"/>
        </w:rPr>
      </w:pPr>
      <w:bookmarkStart w:id="4" w:name="Treatment"/>
      <w:bookmarkEnd w:id="4"/>
      <w:r w:rsidRPr="003E5D44">
        <w:rPr>
          <w:rFonts w:ascii="Garamond" w:hAnsi="Garamond"/>
          <w:b/>
          <w:smallCaps/>
          <w:sz w:val="22"/>
          <w:szCs w:val="22"/>
          <w:u w:val="none"/>
        </w:rPr>
        <w:t>Treatment</w:t>
      </w:r>
    </w:p>
    <w:p w:rsidR="00F67C44" w:rsidRDefault="00F67C44" w:rsidP="00FD492C">
      <w:pPr>
        <w:numPr>
          <w:ilvl w:val="0"/>
          <w:numId w:val="3"/>
        </w:numPr>
        <w:spacing w:before="20" w:after="20" w:line="480" w:lineRule="auto"/>
        <w:rPr>
          <w:rFonts w:ascii="Garamond" w:hAnsi="Garamond"/>
          <w:sz w:val="22"/>
          <w:szCs w:val="22"/>
        </w:rPr>
      </w:pPr>
      <w:r>
        <w:rPr>
          <w:rFonts w:ascii="Garamond" w:hAnsi="Garamond"/>
          <w:sz w:val="22"/>
          <w:szCs w:val="22"/>
        </w:rPr>
        <w:t xml:space="preserve">See guidelines for dispensing INH found </w:t>
      </w:r>
      <w:r w:rsidRPr="00D62D48">
        <w:rPr>
          <w:rFonts w:ascii="Garamond" w:hAnsi="Garamond"/>
          <w:sz w:val="22"/>
          <w:szCs w:val="22"/>
        </w:rPr>
        <w:t>belo</w:t>
      </w:r>
      <w:r w:rsidR="00D62D48">
        <w:rPr>
          <w:rFonts w:ascii="Garamond" w:hAnsi="Garamond"/>
          <w:sz w:val="22"/>
          <w:szCs w:val="22"/>
        </w:rPr>
        <w:t>w</w:t>
      </w:r>
    </w:p>
    <w:p w:rsidR="00F67C44" w:rsidRDefault="00F67C44" w:rsidP="00FD492C">
      <w:pPr>
        <w:numPr>
          <w:ilvl w:val="0"/>
          <w:numId w:val="3"/>
        </w:numPr>
        <w:spacing w:before="20" w:after="20" w:line="480" w:lineRule="auto"/>
        <w:rPr>
          <w:rFonts w:ascii="Garamond" w:hAnsi="Garamond"/>
          <w:sz w:val="22"/>
          <w:szCs w:val="22"/>
        </w:rPr>
      </w:pPr>
      <w:r w:rsidRPr="00B34143">
        <w:rPr>
          <w:rFonts w:ascii="Garamond" w:hAnsi="Garamond"/>
          <w:sz w:val="22"/>
          <w:szCs w:val="22"/>
        </w:rPr>
        <w:t>Latent TB Protocol</w:t>
      </w:r>
      <w:r>
        <w:rPr>
          <w:rFonts w:ascii="Garamond" w:hAnsi="Garamond"/>
          <w:sz w:val="22"/>
          <w:szCs w:val="22"/>
        </w:rPr>
        <w:t xml:space="preserve"> INH </w:t>
      </w:r>
    </w:p>
    <w:p w:rsidR="00F67C44" w:rsidRPr="003E5D44" w:rsidRDefault="00F67C44" w:rsidP="00FD492C">
      <w:pPr>
        <w:numPr>
          <w:ilvl w:val="1"/>
          <w:numId w:val="3"/>
        </w:numPr>
        <w:spacing w:before="20" w:after="20" w:line="480" w:lineRule="auto"/>
        <w:rPr>
          <w:rFonts w:ascii="Garamond" w:hAnsi="Garamond"/>
          <w:sz w:val="22"/>
          <w:szCs w:val="22"/>
        </w:rPr>
      </w:pPr>
      <w:r w:rsidRPr="003E5D44">
        <w:rPr>
          <w:rFonts w:ascii="Garamond" w:hAnsi="Garamond"/>
          <w:sz w:val="22"/>
          <w:szCs w:val="22"/>
        </w:rPr>
        <w:t>Dosing for adults 5mg/kg/day (max 300mg per day)</w:t>
      </w:r>
      <w:r>
        <w:rPr>
          <w:rFonts w:ascii="Garamond" w:hAnsi="Garamond"/>
          <w:sz w:val="22"/>
          <w:szCs w:val="22"/>
        </w:rPr>
        <w:t xml:space="preserve"> x 9 months</w:t>
      </w:r>
    </w:p>
    <w:p w:rsidR="00F67C44" w:rsidRPr="003E5D44" w:rsidRDefault="00F67C44" w:rsidP="00FD492C">
      <w:pPr>
        <w:numPr>
          <w:ilvl w:val="1"/>
          <w:numId w:val="3"/>
        </w:numPr>
        <w:spacing w:before="20" w:after="20" w:line="480" w:lineRule="auto"/>
        <w:rPr>
          <w:rFonts w:ascii="Garamond" w:hAnsi="Garamond"/>
          <w:sz w:val="22"/>
          <w:szCs w:val="22"/>
        </w:rPr>
      </w:pPr>
      <w:r w:rsidRPr="003E5D44">
        <w:rPr>
          <w:rFonts w:ascii="Garamond" w:hAnsi="Garamond"/>
          <w:sz w:val="22"/>
          <w:szCs w:val="22"/>
        </w:rPr>
        <w:t>Children 10-15mg/kg/day (max of 300mg per day)</w:t>
      </w:r>
      <w:r>
        <w:rPr>
          <w:rFonts w:ascii="Garamond" w:hAnsi="Garamond"/>
          <w:sz w:val="22"/>
          <w:szCs w:val="22"/>
        </w:rPr>
        <w:t xml:space="preserve"> x 9 months</w:t>
      </w:r>
    </w:p>
    <w:p w:rsidR="00F67C44" w:rsidRDefault="00F67C44" w:rsidP="00FD492C">
      <w:pPr>
        <w:numPr>
          <w:ilvl w:val="1"/>
          <w:numId w:val="3"/>
        </w:numPr>
        <w:spacing w:before="20" w:after="20" w:line="480" w:lineRule="auto"/>
        <w:rPr>
          <w:rFonts w:ascii="Garamond" w:hAnsi="Garamond"/>
          <w:sz w:val="22"/>
          <w:szCs w:val="22"/>
        </w:rPr>
      </w:pPr>
      <w:r w:rsidRPr="003E5D44">
        <w:rPr>
          <w:rFonts w:ascii="Garamond" w:hAnsi="Garamond"/>
          <w:sz w:val="22"/>
          <w:szCs w:val="22"/>
        </w:rPr>
        <w:t>Round dose to the nearest 50mg</w:t>
      </w:r>
    </w:p>
    <w:p w:rsidR="00FD6B07" w:rsidRDefault="00FD6B07" w:rsidP="00FD492C">
      <w:pPr>
        <w:spacing w:before="20" w:after="20" w:line="480" w:lineRule="auto"/>
        <w:rPr>
          <w:rFonts w:ascii="Garamond" w:hAnsi="Garamond"/>
          <w:sz w:val="22"/>
          <w:szCs w:val="22"/>
        </w:rPr>
      </w:pPr>
    </w:p>
    <w:p w:rsidR="00FD6B07" w:rsidRPr="00FD6B07" w:rsidRDefault="00FD6B07" w:rsidP="00FD492C">
      <w:pPr>
        <w:pStyle w:val="Title"/>
        <w:tabs>
          <w:tab w:val="left" w:pos="9120"/>
        </w:tabs>
        <w:spacing w:before="20" w:after="20" w:line="480" w:lineRule="auto"/>
        <w:jc w:val="left"/>
        <w:rPr>
          <w:rFonts w:ascii="Garamond" w:hAnsi="Garamond"/>
          <w:b w:val="0"/>
          <w:sz w:val="22"/>
          <w:szCs w:val="22"/>
        </w:rPr>
      </w:pPr>
      <w:r w:rsidRPr="003E5D44">
        <w:rPr>
          <w:rFonts w:ascii="Garamond" w:hAnsi="Garamond"/>
          <w:sz w:val="22"/>
          <w:szCs w:val="22"/>
        </w:rPr>
        <w:t>Meds should be taken for 9 months, a 6 month regimen also offers substantial protection but 9m is preferred.</w:t>
      </w:r>
    </w:p>
    <w:p w:rsidR="00FD6B07" w:rsidRPr="003E5D44" w:rsidRDefault="00FD6B07" w:rsidP="00FD492C">
      <w:pPr>
        <w:numPr>
          <w:ilvl w:val="0"/>
          <w:numId w:val="3"/>
        </w:numPr>
        <w:spacing w:before="20" w:after="20" w:line="480" w:lineRule="auto"/>
        <w:rPr>
          <w:rFonts w:ascii="Garamond" w:hAnsi="Garamond"/>
          <w:sz w:val="22"/>
          <w:szCs w:val="22"/>
          <w:u w:val="single"/>
        </w:rPr>
      </w:pPr>
      <w:r w:rsidRPr="003E5D44">
        <w:rPr>
          <w:rFonts w:ascii="Garamond" w:hAnsi="Garamond"/>
          <w:sz w:val="22"/>
          <w:szCs w:val="22"/>
        </w:rPr>
        <w:lastRenderedPageBreak/>
        <w:t xml:space="preserve">INH should be given at bedtime </w:t>
      </w:r>
      <w:r>
        <w:rPr>
          <w:rFonts w:ascii="Garamond" w:hAnsi="Garamond"/>
          <w:sz w:val="22"/>
          <w:szCs w:val="22"/>
        </w:rPr>
        <w:t>with plenty of water due to possible stomach upset.</w:t>
      </w:r>
    </w:p>
    <w:p w:rsidR="00FD6B07" w:rsidRPr="003E5D44" w:rsidRDefault="00FD6B07" w:rsidP="00FD492C">
      <w:pPr>
        <w:numPr>
          <w:ilvl w:val="0"/>
          <w:numId w:val="3"/>
        </w:numPr>
        <w:spacing w:before="20" w:after="20" w:line="480" w:lineRule="auto"/>
        <w:rPr>
          <w:rFonts w:ascii="Garamond" w:hAnsi="Garamond"/>
          <w:sz w:val="22"/>
          <w:szCs w:val="22"/>
        </w:rPr>
      </w:pPr>
      <w:r>
        <w:rPr>
          <w:rFonts w:ascii="Garamond" w:hAnsi="Garamond"/>
          <w:sz w:val="22"/>
          <w:szCs w:val="22"/>
        </w:rPr>
        <w:t xml:space="preserve">Print and give </w:t>
      </w:r>
      <w:r w:rsidRPr="003E5D44">
        <w:rPr>
          <w:rFonts w:ascii="Garamond" w:hAnsi="Garamond"/>
          <w:sz w:val="22"/>
          <w:szCs w:val="22"/>
        </w:rPr>
        <w:t xml:space="preserve">attached </w:t>
      </w:r>
      <w:r>
        <w:rPr>
          <w:rFonts w:ascii="Garamond" w:hAnsi="Garamond"/>
          <w:sz w:val="22"/>
          <w:szCs w:val="22"/>
        </w:rPr>
        <w:t xml:space="preserve">INH </w:t>
      </w:r>
      <w:r w:rsidRPr="003E5D44">
        <w:rPr>
          <w:rFonts w:ascii="Garamond" w:hAnsi="Garamond"/>
          <w:sz w:val="22"/>
          <w:szCs w:val="22"/>
        </w:rPr>
        <w:t>medication information sheets</w:t>
      </w:r>
      <w:r>
        <w:rPr>
          <w:rFonts w:ascii="Garamond" w:hAnsi="Garamond"/>
          <w:sz w:val="22"/>
          <w:szCs w:val="22"/>
        </w:rPr>
        <w:t xml:space="preserve"> in </w:t>
      </w:r>
      <w:hyperlink w:anchor="INH_instructions" w:history="1">
        <w:r>
          <w:rPr>
            <w:rStyle w:val="Hyperlink"/>
            <w:rFonts w:ascii="Garamond" w:hAnsi="Garamond"/>
            <w:sz w:val="22"/>
            <w:szCs w:val="22"/>
          </w:rPr>
          <w:t>English</w:t>
        </w:r>
      </w:hyperlink>
      <w:r>
        <w:rPr>
          <w:rFonts w:ascii="Garamond" w:hAnsi="Garamond"/>
          <w:sz w:val="22"/>
          <w:szCs w:val="22"/>
        </w:rPr>
        <w:t xml:space="preserve"> or</w:t>
      </w:r>
      <w:r w:rsidRPr="003E5D44">
        <w:rPr>
          <w:rFonts w:ascii="Garamond" w:hAnsi="Garamond"/>
          <w:sz w:val="22"/>
          <w:szCs w:val="22"/>
        </w:rPr>
        <w:t xml:space="preserve"> </w:t>
      </w:r>
      <w:hyperlink w:anchor="INH_instructionsSP" w:history="1">
        <w:r>
          <w:rPr>
            <w:rStyle w:val="Hyperlink"/>
            <w:rFonts w:ascii="Garamond" w:hAnsi="Garamond"/>
            <w:sz w:val="22"/>
            <w:szCs w:val="22"/>
          </w:rPr>
          <w:t>Spanish</w:t>
        </w:r>
      </w:hyperlink>
      <w:r>
        <w:rPr>
          <w:rFonts w:ascii="Garamond" w:hAnsi="Garamond"/>
          <w:sz w:val="22"/>
          <w:szCs w:val="22"/>
        </w:rPr>
        <w:t>.</w:t>
      </w:r>
    </w:p>
    <w:p w:rsidR="00FD6B07" w:rsidRPr="003E5D44" w:rsidRDefault="00FD6B07" w:rsidP="00FD492C">
      <w:pPr>
        <w:numPr>
          <w:ilvl w:val="0"/>
          <w:numId w:val="3"/>
        </w:numPr>
        <w:spacing w:before="20" w:after="20" w:line="480" w:lineRule="auto"/>
        <w:rPr>
          <w:rFonts w:ascii="Garamond" w:hAnsi="Garamond"/>
          <w:sz w:val="22"/>
          <w:szCs w:val="22"/>
          <w:u w:val="single"/>
        </w:rPr>
      </w:pPr>
      <w:r w:rsidRPr="003E5D44">
        <w:rPr>
          <w:rFonts w:ascii="Garamond" w:hAnsi="Garamond"/>
          <w:sz w:val="22"/>
          <w:szCs w:val="22"/>
        </w:rPr>
        <w:t>Routine monitoring of liver function is not necessary unless patient is at risk for hepatic disease or HIV infected</w:t>
      </w:r>
    </w:p>
    <w:p w:rsidR="00FD6B07" w:rsidRPr="003E5D44" w:rsidRDefault="00FD6B07" w:rsidP="00FD492C">
      <w:pPr>
        <w:numPr>
          <w:ilvl w:val="0"/>
          <w:numId w:val="3"/>
        </w:numPr>
        <w:spacing w:before="20" w:after="20" w:line="480" w:lineRule="auto"/>
        <w:rPr>
          <w:rFonts w:ascii="Garamond" w:hAnsi="Garamond"/>
          <w:sz w:val="22"/>
          <w:szCs w:val="22"/>
          <w:u w:val="single"/>
        </w:rPr>
      </w:pPr>
      <w:r w:rsidRPr="003E5D44">
        <w:rPr>
          <w:rFonts w:ascii="Garamond" w:hAnsi="Garamond"/>
          <w:sz w:val="22"/>
          <w:szCs w:val="22"/>
        </w:rPr>
        <w:t xml:space="preserve">Vitamin B6 </w:t>
      </w:r>
      <w:r>
        <w:rPr>
          <w:rFonts w:ascii="Garamond" w:hAnsi="Garamond"/>
          <w:sz w:val="22"/>
          <w:szCs w:val="22"/>
        </w:rPr>
        <w:t xml:space="preserve">(Pyridoxine) </w:t>
      </w:r>
      <w:r w:rsidRPr="003E5D44">
        <w:rPr>
          <w:rFonts w:ascii="Garamond" w:hAnsi="Garamond"/>
          <w:sz w:val="22"/>
          <w:szCs w:val="22"/>
        </w:rPr>
        <w:t>is used occasionally for adults</w:t>
      </w:r>
      <w:r>
        <w:rPr>
          <w:rFonts w:ascii="Garamond" w:hAnsi="Garamond"/>
          <w:sz w:val="22"/>
          <w:szCs w:val="22"/>
        </w:rPr>
        <w:t xml:space="preserve"> to reduce the risk of peripheral neuropathy. (Pyridoxine </w:t>
      </w:r>
    </w:p>
    <w:p w:rsidR="00FD6B07" w:rsidRPr="00B34143" w:rsidRDefault="00FD6B07" w:rsidP="00FD492C">
      <w:pPr>
        <w:numPr>
          <w:ilvl w:val="1"/>
          <w:numId w:val="3"/>
        </w:numPr>
        <w:tabs>
          <w:tab w:val="left" w:pos="360"/>
        </w:tabs>
        <w:spacing w:before="20" w:after="20" w:line="480" w:lineRule="auto"/>
        <w:rPr>
          <w:rFonts w:ascii="Garamond" w:hAnsi="Garamond"/>
          <w:sz w:val="22"/>
          <w:szCs w:val="22"/>
        </w:rPr>
      </w:pPr>
      <w:r w:rsidRPr="003E5D44">
        <w:rPr>
          <w:rFonts w:ascii="Garamond" w:hAnsi="Garamond"/>
          <w:sz w:val="22"/>
          <w:szCs w:val="22"/>
        </w:rPr>
        <w:t>See also special consi</w:t>
      </w:r>
      <w:r>
        <w:rPr>
          <w:rFonts w:ascii="Garamond" w:hAnsi="Garamond"/>
          <w:sz w:val="22"/>
          <w:szCs w:val="22"/>
        </w:rPr>
        <w:t>derations section on pages 9 &amp;</w:t>
      </w:r>
      <w:r w:rsidRPr="003E5D44">
        <w:rPr>
          <w:rFonts w:ascii="Garamond" w:hAnsi="Garamond"/>
          <w:sz w:val="22"/>
          <w:szCs w:val="22"/>
        </w:rPr>
        <w:t xml:space="preserve"> 10</w:t>
      </w:r>
      <w:r>
        <w:rPr>
          <w:rFonts w:ascii="Garamond" w:hAnsi="Garamond"/>
          <w:sz w:val="22"/>
          <w:szCs w:val="22"/>
        </w:rPr>
        <w:t xml:space="preserve"> of from the </w:t>
      </w:r>
      <w:r w:rsidRPr="00B34143">
        <w:rPr>
          <w:rFonts w:ascii="Garamond" w:hAnsi="Garamond"/>
          <w:sz w:val="22"/>
          <w:szCs w:val="22"/>
        </w:rPr>
        <w:t>Latent TB Protocol</w:t>
      </w:r>
      <w:r>
        <w:rPr>
          <w:rFonts w:ascii="Garamond" w:hAnsi="Garamond"/>
          <w:sz w:val="22"/>
          <w:szCs w:val="22"/>
        </w:rPr>
        <w:t xml:space="preserve"> (CHS LTBI Protocol File)   </w:t>
      </w:r>
    </w:p>
    <w:p w:rsidR="00FD6B07" w:rsidRDefault="00FD6B07" w:rsidP="00FD492C">
      <w:pPr>
        <w:numPr>
          <w:ilvl w:val="0"/>
          <w:numId w:val="3"/>
        </w:numPr>
        <w:spacing w:before="20" w:after="20" w:line="480" w:lineRule="auto"/>
        <w:rPr>
          <w:rFonts w:ascii="Garamond" w:hAnsi="Garamond"/>
          <w:sz w:val="22"/>
          <w:szCs w:val="22"/>
        </w:rPr>
      </w:pPr>
      <w:r>
        <w:rPr>
          <w:rFonts w:ascii="Garamond" w:hAnsi="Garamond"/>
          <w:sz w:val="22"/>
          <w:szCs w:val="22"/>
        </w:rPr>
        <w:t>Recall via</w:t>
      </w:r>
      <w:r w:rsidRPr="003E5D44">
        <w:rPr>
          <w:rFonts w:ascii="Garamond" w:hAnsi="Garamond"/>
          <w:sz w:val="22"/>
          <w:szCs w:val="22"/>
        </w:rPr>
        <w:t xml:space="preserve"> tasking for evaluation in 30 days.</w:t>
      </w:r>
    </w:p>
    <w:p w:rsidR="00FD6B07" w:rsidRPr="003E5D44" w:rsidRDefault="00FD6B07" w:rsidP="00FD492C">
      <w:pPr>
        <w:spacing w:before="20" w:after="20" w:line="480" w:lineRule="auto"/>
        <w:ind w:left="360"/>
        <w:rPr>
          <w:rFonts w:ascii="Garamond" w:hAnsi="Garamond"/>
          <w:sz w:val="22"/>
          <w:szCs w:val="22"/>
        </w:rPr>
      </w:pPr>
      <w:r>
        <w:rPr>
          <w:rFonts w:ascii="Garamond" w:hAnsi="Garamond"/>
          <w:sz w:val="22"/>
          <w:szCs w:val="22"/>
        </w:rPr>
        <w:t xml:space="preserve"> </w:t>
      </w:r>
    </w:p>
    <w:p w:rsidR="006C6ADC" w:rsidRPr="003E5D44" w:rsidRDefault="006C6ADC" w:rsidP="00FD492C">
      <w:pPr>
        <w:pStyle w:val="Subtitle"/>
        <w:spacing w:before="20" w:after="20" w:line="480" w:lineRule="auto"/>
        <w:rPr>
          <w:rFonts w:ascii="Garamond" w:hAnsi="Garamond"/>
          <w:b/>
          <w:smallCaps/>
          <w:sz w:val="22"/>
          <w:szCs w:val="22"/>
          <w:u w:val="none"/>
        </w:rPr>
      </w:pPr>
      <w:r w:rsidRPr="003E5D44">
        <w:rPr>
          <w:rFonts w:ascii="Garamond" w:hAnsi="Garamond"/>
          <w:b/>
          <w:smallCaps/>
          <w:sz w:val="22"/>
          <w:szCs w:val="22"/>
          <w:u w:val="none"/>
        </w:rPr>
        <w:t>Education</w:t>
      </w:r>
    </w:p>
    <w:p w:rsidR="00E95194" w:rsidRDefault="006C6ADC" w:rsidP="00FD492C">
      <w:pPr>
        <w:numPr>
          <w:ilvl w:val="0"/>
          <w:numId w:val="10"/>
        </w:numPr>
        <w:spacing w:before="20" w:after="20" w:line="480" w:lineRule="auto"/>
        <w:rPr>
          <w:rFonts w:ascii="Garamond" w:hAnsi="Garamond"/>
          <w:sz w:val="22"/>
          <w:szCs w:val="22"/>
        </w:rPr>
      </w:pPr>
      <w:r w:rsidRPr="003E5D44">
        <w:rPr>
          <w:rFonts w:ascii="Garamond" w:hAnsi="Garamond"/>
          <w:sz w:val="22"/>
          <w:szCs w:val="22"/>
        </w:rPr>
        <w:t>Importance of taking daily medication for 9 months</w:t>
      </w:r>
      <w:r>
        <w:rPr>
          <w:rFonts w:ascii="Garamond" w:hAnsi="Garamond"/>
          <w:sz w:val="22"/>
          <w:szCs w:val="22"/>
        </w:rPr>
        <w:t>.</w:t>
      </w:r>
    </w:p>
    <w:p w:rsidR="006C6ADC" w:rsidRPr="00E95194" w:rsidRDefault="006C6ADC" w:rsidP="00FD492C">
      <w:pPr>
        <w:numPr>
          <w:ilvl w:val="0"/>
          <w:numId w:val="10"/>
        </w:numPr>
        <w:spacing w:before="20" w:after="20" w:line="480" w:lineRule="auto"/>
        <w:rPr>
          <w:rFonts w:ascii="Garamond" w:hAnsi="Garamond"/>
          <w:sz w:val="22"/>
          <w:szCs w:val="22"/>
        </w:rPr>
      </w:pPr>
      <w:r w:rsidRPr="00E95194">
        <w:rPr>
          <w:rFonts w:ascii="Garamond" w:hAnsi="Garamond"/>
          <w:sz w:val="22"/>
          <w:szCs w:val="22"/>
        </w:rPr>
        <w:t>Monthly evaluation by phone or appointment at provider discretion</w:t>
      </w:r>
    </w:p>
    <w:p w:rsidR="006C6ADC" w:rsidRPr="003E5D44" w:rsidRDefault="006C6ADC" w:rsidP="00FD492C">
      <w:pPr>
        <w:numPr>
          <w:ilvl w:val="0"/>
          <w:numId w:val="10"/>
        </w:numPr>
        <w:spacing w:before="20" w:after="20" w:line="480" w:lineRule="auto"/>
        <w:rPr>
          <w:rFonts w:ascii="Garamond" w:hAnsi="Garamond"/>
          <w:sz w:val="22"/>
          <w:szCs w:val="22"/>
        </w:rPr>
      </w:pPr>
      <w:r w:rsidRPr="003E5D44">
        <w:rPr>
          <w:rFonts w:ascii="Garamond" w:hAnsi="Garamond"/>
          <w:sz w:val="22"/>
          <w:szCs w:val="22"/>
        </w:rPr>
        <w:t xml:space="preserve">Handouts in </w:t>
      </w:r>
      <w:hyperlink w:anchor="English" w:history="1">
        <w:r w:rsidRPr="00667BBA">
          <w:rPr>
            <w:rStyle w:val="Hyperlink"/>
            <w:rFonts w:ascii="Garamond" w:hAnsi="Garamond"/>
            <w:sz w:val="22"/>
            <w:szCs w:val="22"/>
          </w:rPr>
          <w:t>English</w:t>
        </w:r>
      </w:hyperlink>
      <w:r w:rsidRPr="003E5D44">
        <w:rPr>
          <w:rFonts w:ascii="Garamond" w:hAnsi="Garamond"/>
          <w:sz w:val="22"/>
          <w:szCs w:val="22"/>
        </w:rPr>
        <w:t xml:space="preserve"> and </w:t>
      </w:r>
      <w:hyperlink w:anchor="Spanish" w:history="1">
        <w:r w:rsidRPr="00667BBA">
          <w:rPr>
            <w:rStyle w:val="Hyperlink"/>
            <w:rFonts w:ascii="Garamond" w:hAnsi="Garamond"/>
            <w:sz w:val="22"/>
            <w:szCs w:val="22"/>
          </w:rPr>
          <w:t>Spanish</w:t>
        </w:r>
      </w:hyperlink>
      <w:r w:rsidRPr="003E5D44">
        <w:rPr>
          <w:rFonts w:ascii="Garamond" w:hAnsi="Garamond"/>
          <w:sz w:val="22"/>
          <w:szCs w:val="22"/>
        </w:rPr>
        <w:t xml:space="preserve"> explaining TB</w:t>
      </w:r>
      <w:r>
        <w:rPr>
          <w:rFonts w:ascii="Garamond" w:hAnsi="Garamond"/>
          <w:sz w:val="22"/>
          <w:szCs w:val="22"/>
        </w:rPr>
        <w:t>.</w:t>
      </w:r>
    </w:p>
    <w:p w:rsidR="006C6ADC" w:rsidRPr="003E5D44" w:rsidRDefault="006C6ADC" w:rsidP="00FD492C">
      <w:pPr>
        <w:pStyle w:val="Title"/>
        <w:spacing w:before="20" w:after="20" w:line="480" w:lineRule="auto"/>
        <w:jc w:val="left"/>
        <w:rPr>
          <w:rFonts w:ascii="Garamond" w:hAnsi="Garamond"/>
          <w:b w:val="0"/>
          <w:sz w:val="22"/>
          <w:szCs w:val="22"/>
        </w:rPr>
      </w:pPr>
    </w:p>
    <w:p w:rsidR="006C6ADC" w:rsidRPr="003E5D44" w:rsidRDefault="006C6ADC" w:rsidP="00FD492C">
      <w:pPr>
        <w:pStyle w:val="Title"/>
        <w:spacing w:before="20" w:after="20" w:line="480" w:lineRule="auto"/>
        <w:jc w:val="left"/>
        <w:rPr>
          <w:rFonts w:ascii="Garamond" w:hAnsi="Garamond"/>
          <w:i/>
          <w:smallCaps/>
          <w:color w:val="FF0000"/>
          <w:sz w:val="22"/>
          <w:szCs w:val="22"/>
        </w:rPr>
      </w:pPr>
      <w:r w:rsidRPr="003E5D44">
        <w:rPr>
          <w:rFonts w:ascii="Garamond" w:hAnsi="Garamond"/>
          <w:i/>
          <w:smallCaps/>
          <w:color w:val="FF0000"/>
          <w:sz w:val="22"/>
          <w:szCs w:val="22"/>
        </w:rPr>
        <w:t xml:space="preserve">Call back for appointment with provider if: </w:t>
      </w:r>
    </w:p>
    <w:p w:rsidR="006C6ADC" w:rsidRPr="003E5D44" w:rsidRDefault="006C6ADC" w:rsidP="00FD492C">
      <w:pPr>
        <w:numPr>
          <w:ilvl w:val="0"/>
          <w:numId w:val="5"/>
        </w:numPr>
        <w:spacing w:line="480" w:lineRule="auto"/>
        <w:rPr>
          <w:rFonts w:ascii="Garamond" w:hAnsi="Garamond"/>
          <w:sz w:val="22"/>
          <w:szCs w:val="22"/>
        </w:rPr>
      </w:pPr>
      <w:r w:rsidRPr="003E5D44">
        <w:rPr>
          <w:rFonts w:ascii="Garamond" w:hAnsi="Garamond"/>
          <w:sz w:val="22"/>
          <w:szCs w:val="22"/>
        </w:rPr>
        <w:t>Patient reports symptoms of TB</w:t>
      </w:r>
    </w:p>
    <w:p w:rsidR="006C6ADC" w:rsidRPr="003E5D44" w:rsidRDefault="006C6ADC" w:rsidP="00FD492C">
      <w:pPr>
        <w:numPr>
          <w:ilvl w:val="0"/>
          <w:numId w:val="5"/>
        </w:numPr>
        <w:spacing w:before="20" w:after="20" w:line="480" w:lineRule="auto"/>
        <w:rPr>
          <w:rFonts w:ascii="Garamond" w:hAnsi="Garamond"/>
          <w:sz w:val="22"/>
          <w:szCs w:val="22"/>
          <w:u w:val="single"/>
        </w:rPr>
      </w:pPr>
      <w:r w:rsidRPr="003E5D44">
        <w:rPr>
          <w:rFonts w:ascii="Garamond" w:hAnsi="Garamond"/>
          <w:sz w:val="22"/>
          <w:szCs w:val="22"/>
        </w:rPr>
        <w:t>Liver function test are abnormal</w:t>
      </w:r>
    </w:p>
    <w:p w:rsidR="006C6ADC" w:rsidRDefault="006C6ADC" w:rsidP="00FD492C">
      <w:pPr>
        <w:numPr>
          <w:ilvl w:val="0"/>
          <w:numId w:val="5"/>
        </w:numPr>
        <w:spacing w:line="480" w:lineRule="auto"/>
        <w:rPr>
          <w:rFonts w:ascii="Garamond" w:hAnsi="Garamond"/>
          <w:sz w:val="22"/>
          <w:szCs w:val="22"/>
        </w:rPr>
      </w:pPr>
      <w:r w:rsidRPr="003E5D44">
        <w:rPr>
          <w:rFonts w:ascii="Garamond" w:hAnsi="Garamond"/>
          <w:sz w:val="22"/>
          <w:szCs w:val="22"/>
        </w:rPr>
        <w:t>Patient develops symptoms of hepatitis (jaundice, abdominal pain, tea color urine, nausea or vomiting)</w:t>
      </w:r>
    </w:p>
    <w:p w:rsidR="006C6ADC" w:rsidRPr="003E5D44" w:rsidRDefault="006C6ADC" w:rsidP="00FD492C">
      <w:pPr>
        <w:spacing w:line="480" w:lineRule="auto"/>
        <w:ind w:left="360"/>
        <w:rPr>
          <w:rFonts w:ascii="Garamond" w:hAnsi="Garamond"/>
          <w:sz w:val="22"/>
          <w:szCs w:val="22"/>
        </w:rPr>
      </w:pPr>
    </w:p>
    <w:p w:rsidR="006C6ADC" w:rsidRPr="003E5D44" w:rsidRDefault="006C6ADC" w:rsidP="00FD492C">
      <w:pPr>
        <w:pStyle w:val="Title"/>
        <w:spacing w:before="20" w:after="20" w:line="480" w:lineRule="auto"/>
        <w:jc w:val="left"/>
        <w:rPr>
          <w:rFonts w:ascii="Garamond" w:hAnsi="Garamond"/>
          <w:b w:val="0"/>
          <w:sz w:val="22"/>
          <w:szCs w:val="22"/>
        </w:rPr>
      </w:pPr>
    </w:p>
    <w:p w:rsidR="006C6ADC" w:rsidRPr="003E5D44" w:rsidRDefault="006C6ADC" w:rsidP="00FD492C">
      <w:pPr>
        <w:pStyle w:val="Title"/>
        <w:spacing w:before="20" w:after="20" w:line="480" w:lineRule="auto"/>
        <w:rPr>
          <w:rFonts w:ascii="Garamond" w:hAnsi="Garamond"/>
          <w:smallCaps/>
          <w:sz w:val="22"/>
          <w:szCs w:val="22"/>
        </w:rPr>
      </w:pPr>
      <w:r w:rsidRPr="003E5D44">
        <w:rPr>
          <w:rFonts w:ascii="Garamond" w:hAnsi="Garamond"/>
          <w:smallCaps/>
          <w:sz w:val="22"/>
          <w:szCs w:val="22"/>
        </w:rPr>
        <w:t>Document all of Above in Medical Record and have PCP Cosign</w:t>
      </w:r>
    </w:p>
    <w:p w:rsidR="006C6ADC" w:rsidRDefault="006C6ADC" w:rsidP="00FD492C">
      <w:pPr>
        <w:pStyle w:val="Title"/>
        <w:spacing w:before="20" w:after="20" w:line="480" w:lineRule="auto"/>
        <w:jc w:val="left"/>
        <w:rPr>
          <w:rFonts w:ascii="Garamond" w:hAnsi="Garamond"/>
          <w:sz w:val="22"/>
          <w:szCs w:val="22"/>
        </w:rPr>
      </w:pPr>
      <w:r w:rsidRPr="00BB5883">
        <w:rPr>
          <w:rFonts w:ascii="Garamond" w:hAnsi="Garamond"/>
          <w:b w:val="0"/>
          <w:sz w:val="22"/>
          <w:szCs w:val="22"/>
        </w:rPr>
        <w:t>**</w:t>
      </w:r>
      <w:r w:rsidRPr="00BB5883">
        <w:rPr>
          <w:rFonts w:ascii="Garamond" w:hAnsi="Garamond"/>
          <w:sz w:val="22"/>
          <w:szCs w:val="22"/>
        </w:rPr>
        <w:t xml:space="preserve"> TNF blockers target and neutralize tumor necrosis factor-alpha (TNF-α), a protein that, when overproduced in the body due to chronic inflammatory diseases, can cause inflammation and </w:t>
      </w:r>
      <w:r w:rsidRPr="00BB5883">
        <w:rPr>
          <w:rFonts w:ascii="Garamond" w:hAnsi="Garamond"/>
          <w:sz w:val="22"/>
          <w:szCs w:val="22"/>
        </w:rPr>
        <w:lastRenderedPageBreak/>
        <w:t>damage to bones, cartilage and tissue. The drugs in this class include Remicade (infliximab), Enbrel (etancercept), Humira (adalimumab), Cimzia (certolizumab pegol) and Simponi (golimumab).</w:t>
      </w:r>
      <w:r>
        <w:rPr>
          <w:rFonts w:ascii="Garamond" w:hAnsi="Garamond"/>
          <w:sz w:val="22"/>
          <w:szCs w:val="22"/>
        </w:rPr>
        <w:t xml:space="preserve">  (FDA, 2009).</w:t>
      </w:r>
    </w:p>
    <w:p w:rsidR="005D7A63" w:rsidRDefault="005D7A63" w:rsidP="00FD492C">
      <w:pPr>
        <w:pStyle w:val="Title"/>
        <w:spacing w:before="20" w:after="20" w:line="480" w:lineRule="auto"/>
        <w:jc w:val="left"/>
        <w:rPr>
          <w:rFonts w:ascii="Garamond" w:hAnsi="Garamond"/>
          <w:sz w:val="22"/>
          <w:szCs w:val="22"/>
        </w:rPr>
      </w:pPr>
    </w:p>
    <w:p w:rsidR="005D7A63" w:rsidRDefault="005D7A63" w:rsidP="00FD492C">
      <w:pPr>
        <w:pStyle w:val="Title"/>
        <w:spacing w:before="20" w:after="20" w:line="480" w:lineRule="auto"/>
        <w:jc w:val="left"/>
        <w:rPr>
          <w:rFonts w:ascii="Garamond" w:hAnsi="Garamond"/>
          <w:sz w:val="22"/>
          <w:szCs w:val="22"/>
        </w:rPr>
      </w:pPr>
    </w:p>
    <w:p w:rsidR="005D7A63" w:rsidRDefault="005D7A63" w:rsidP="00FD492C">
      <w:pPr>
        <w:pStyle w:val="Title"/>
        <w:spacing w:before="20" w:after="20" w:line="480" w:lineRule="auto"/>
        <w:jc w:val="left"/>
        <w:rPr>
          <w:rFonts w:ascii="Garamond" w:hAnsi="Garamond"/>
          <w:sz w:val="22"/>
          <w:szCs w:val="22"/>
        </w:rPr>
      </w:pPr>
    </w:p>
    <w:p w:rsidR="005D7A63" w:rsidRPr="00BB5883" w:rsidRDefault="005D7A63" w:rsidP="00FD492C">
      <w:pPr>
        <w:pStyle w:val="Title"/>
        <w:spacing w:before="20" w:after="20" w:line="480" w:lineRule="auto"/>
        <w:jc w:val="left"/>
        <w:rPr>
          <w:rFonts w:ascii="Garamond" w:hAnsi="Garamond"/>
          <w:b w:val="0"/>
          <w:sz w:val="22"/>
          <w:szCs w:val="22"/>
          <w:u w:val="single"/>
        </w:rPr>
      </w:pPr>
    </w:p>
    <w:p w:rsidR="005D7A63" w:rsidRPr="00844625" w:rsidRDefault="005D7A63" w:rsidP="00FD492C">
      <w:pPr>
        <w:pStyle w:val="CM7"/>
        <w:spacing w:after="205" w:line="480" w:lineRule="auto"/>
        <w:ind w:firstLine="512"/>
        <w:rPr>
          <w:rFonts w:cs="Calibri"/>
          <w:color w:val="000000"/>
          <w:sz w:val="22"/>
          <w:szCs w:val="22"/>
        </w:rPr>
      </w:pPr>
      <w:r w:rsidRPr="00844625">
        <w:rPr>
          <w:rFonts w:cs="Calibri"/>
          <w:color w:val="000000"/>
          <w:sz w:val="22"/>
          <w:szCs w:val="22"/>
        </w:rPr>
        <w:t xml:space="preserve">Medical Director _____________________________ Signature </w:t>
      </w:r>
    </w:p>
    <w:p w:rsidR="005D7A63" w:rsidRPr="00844625" w:rsidRDefault="005D7A63" w:rsidP="00FD492C">
      <w:pPr>
        <w:pStyle w:val="CM7"/>
        <w:spacing w:after="205" w:line="480" w:lineRule="auto"/>
        <w:ind w:left="512"/>
        <w:rPr>
          <w:rFonts w:cs="Calibri"/>
          <w:color w:val="000000"/>
          <w:sz w:val="22"/>
          <w:szCs w:val="22"/>
        </w:rPr>
      </w:pPr>
      <w:r w:rsidRPr="00844625">
        <w:rPr>
          <w:rFonts w:cs="Calibri"/>
          <w:color w:val="000000"/>
          <w:sz w:val="22"/>
          <w:szCs w:val="22"/>
        </w:rPr>
        <w:t>Printed Name________________________________</w:t>
      </w:r>
    </w:p>
    <w:p w:rsidR="005D7A63" w:rsidRPr="00844625" w:rsidRDefault="005D7A63" w:rsidP="00FD492C">
      <w:pPr>
        <w:pStyle w:val="CM7"/>
        <w:spacing w:after="205" w:line="480" w:lineRule="auto"/>
        <w:ind w:left="512"/>
        <w:rPr>
          <w:rFonts w:cs="Calibri"/>
          <w:color w:val="000000"/>
          <w:sz w:val="22"/>
          <w:szCs w:val="22"/>
        </w:rPr>
      </w:pPr>
      <w:r w:rsidRPr="00844625">
        <w:rPr>
          <w:rFonts w:cs="Calibri"/>
          <w:color w:val="000000"/>
          <w:sz w:val="22"/>
          <w:szCs w:val="22"/>
        </w:rPr>
        <w:t xml:space="preserve">Effective date _______________ </w:t>
      </w:r>
    </w:p>
    <w:p w:rsidR="005D7A63" w:rsidRPr="00844625" w:rsidRDefault="005D7A63" w:rsidP="00FD492C">
      <w:pPr>
        <w:pStyle w:val="CM6"/>
        <w:spacing w:after="132" w:line="480" w:lineRule="auto"/>
        <w:ind w:left="512"/>
        <w:rPr>
          <w:rFonts w:ascii="Times New Roman" w:hAnsi="Times New Roman"/>
          <w:sz w:val="22"/>
          <w:szCs w:val="22"/>
        </w:rPr>
      </w:pPr>
      <w:r w:rsidRPr="00844625">
        <w:rPr>
          <w:rFonts w:cs="Calibri"/>
          <w:color w:val="000000"/>
          <w:sz w:val="22"/>
          <w:szCs w:val="22"/>
        </w:rPr>
        <w:t>Date reviewed _______________ Date revised ______________</w:t>
      </w:r>
      <w:r w:rsidRPr="00844625">
        <w:rPr>
          <w:rFonts w:ascii="Times New Roman" w:hAnsi="Times New Roman"/>
          <w:color w:val="000000"/>
          <w:sz w:val="22"/>
          <w:szCs w:val="22"/>
        </w:rPr>
        <w:t xml:space="preserve"> </w:t>
      </w:r>
    </w:p>
    <w:p w:rsidR="005D7A63" w:rsidRPr="00844625" w:rsidRDefault="00B57A9E" w:rsidP="00FD492C">
      <w:pPr>
        <w:pStyle w:val="Default"/>
        <w:spacing w:line="480" w:lineRule="auto"/>
        <w:rPr>
          <w:sz w:val="22"/>
          <w:szCs w:val="22"/>
        </w:rPr>
      </w:pPr>
      <w:r>
        <w:rPr>
          <w:noProof/>
          <w:sz w:val="22"/>
          <w:szCs w:val="22"/>
        </w:rPr>
        <w:pict>
          <v:shapetype id="_x0000_t202" coordsize="21600,21600" o:spt="202" path="m,l,21600r21600,l21600,xe">
            <v:stroke joinstyle="miter"/>
            <v:path gradientshapeok="t" o:connecttype="rect"/>
          </v:shapetype>
          <v:shape id="_x0000_s1026" type="#_x0000_t202" style="position:absolute;margin-left:286.2pt;margin-top:584.25pt;width:387.1pt;height:94.65pt;z-index:251663360;mso-position-horizontal-relative:page;mso-position-vertical-relative:page" wrapcoords="0 0" o:allowincell="f" filled="f" stroked="f">
            <v:textbox>
              <w:txbxContent>
                <w:p w:rsidR="005D7A63" w:rsidRDefault="005D7A63" w:rsidP="005D7A63"/>
              </w:txbxContent>
            </v:textbox>
            <w10:wrap type="through" anchorx="page" anchory="page"/>
          </v:shape>
        </w:pict>
      </w:r>
    </w:p>
    <w:p w:rsidR="006C6ADC" w:rsidRPr="005C0ABB" w:rsidRDefault="005D7A63" w:rsidP="00FD492C">
      <w:pPr>
        <w:spacing w:line="480" w:lineRule="auto"/>
        <w:jc w:val="center"/>
        <w:rPr>
          <w:rFonts w:ascii="Garamond" w:hAnsi="Garamond"/>
          <w:b/>
          <w:sz w:val="28"/>
          <w:szCs w:val="28"/>
        </w:rPr>
      </w:pPr>
      <w:r>
        <w:rPr>
          <w:rFonts w:ascii="Garamond" w:hAnsi="Garamond"/>
          <w:b/>
          <w:smallCaps/>
        </w:rPr>
        <w:br w:type="page"/>
      </w:r>
      <w:r w:rsidR="006C6ADC">
        <w:rPr>
          <w:rFonts w:ascii="Garamond" w:hAnsi="Garamond"/>
          <w:smallCaps/>
          <w:snapToGrid w:val="0"/>
          <w:sz w:val="22"/>
          <w:szCs w:val="22"/>
        </w:rPr>
        <w:lastRenderedPageBreak/>
        <w:br w:type="page"/>
      </w:r>
      <w:r w:rsidR="006C6ADC" w:rsidRPr="005C0ABB">
        <w:rPr>
          <w:rFonts w:ascii="Garamond" w:hAnsi="Garamond"/>
          <w:b/>
          <w:color w:val="000000"/>
          <w:sz w:val="28"/>
          <w:szCs w:val="28"/>
        </w:rPr>
        <w:lastRenderedPageBreak/>
        <w:t xml:space="preserve">From Denver Health Community Health Services </w:t>
      </w:r>
      <w:r w:rsidR="006C6ADC" w:rsidRPr="005C0ABB">
        <w:rPr>
          <w:rFonts w:ascii="Garamond" w:hAnsi="Garamond"/>
          <w:b/>
          <w:bCs/>
          <w:color w:val="000000"/>
          <w:sz w:val="28"/>
          <w:szCs w:val="28"/>
        </w:rPr>
        <w:t xml:space="preserve">Protocol for Latent TB Infection (LTBI) Diagnosis and Management Pediatric and </w:t>
      </w:r>
      <w:r w:rsidR="006C6ADC">
        <w:rPr>
          <w:rFonts w:ascii="Garamond" w:hAnsi="Garamond"/>
          <w:b/>
          <w:bCs/>
          <w:color w:val="000000"/>
          <w:sz w:val="28"/>
          <w:szCs w:val="28"/>
        </w:rPr>
        <w:t>Adult Patients, from page 9 and on</w:t>
      </w:r>
      <w:r w:rsidR="006C6ADC" w:rsidRPr="005C0ABB">
        <w:rPr>
          <w:rFonts w:ascii="Garamond" w:hAnsi="Garamond"/>
          <w:b/>
          <w:bCs/>
          <w:color w:val="000000"/>
          <w:sz w:val="28"/>
          <w:szCs w:val="28"/>
        </w:rPr>
        <w:t>.</w:t>
      </w:r>
    </w:p>
    <w:p w:rsidR="006C6ADC" w:rsidRPr="008E3A08" w:rsidRDefault="006C6ADC" w:rsidP="006C6ADC">
      <w:pPr>
        <w:pStyle w:val="Default"/>
        <w:spacing w:before="240" w:after="60"/>
        <w:rPr>
          <w:rFonts w:ascii="Arial" w:hAnsi="Arial" w:cs="Arial"/>
          <w:sz w:val="28"/>
          <w:szCs w:val="28"/>
        </w:rPr>
      </w:pPr>
      <w:bookmarkStart w:id="5" w:name="OLE_LINK1"/>
      <w:bookmarkStart w:id="6" w:name="TBPClassification"/>
      <w:bookmarkEnd w:id="5"/>
      <w:bookmarkEnd w:id="6"/>
      <w:r w:rsidRPr="008E3A08">
        <w:rPr>
          <w:rFonts w:ascii="Arial" w:hAnsi="Arial" w:cs="Arial"/>
          <w:b/>
          <w:bCs/>
          <w:i/>
          <w:iCs/>
          <w:sz w:val="28"/>
          <w:szCs w:val="28"/>
        </w:rPr>
        <w:t xml:space="preserve">D. Classifying the TST </w:t>
      </w:r>
      <w:hyperlink w:anchor="Assessment" w:history="1">
        <w:r w:rsidRPr="00557D1B">
          <w:rPr>
            <w:rStyle w:val="Hyperlink"/>
            <w:rFonts w:ascii="Arial" w:hAnsi="Arial" w:cs="Arial"/>
            <w:b/>
            <w:bCs/>
            <w:i/>
            <w:iCs/>
            <w:sz w:val="28"/>
            <w:szCs w:val="28"/>
          </w:rPr>
          <w:t>back to top</w:t>
        </w:r>
      </w:hyperlink>
    </w:p>
    <w:tbl>
      <w:tblPr>
        <w:tblW w:w="10768" w:type="dxa"/>
        <w:tblInd w:w="180" w:type="dxa"/>
        <w:tblBorders>
          <w:top w:val="nil"/>
          <w:left w:val="nil"/>
          <w:bottom w:val="nil"/>
          <w:right w:val="nil"/>
        </w:tblBorders>
        <w:tblLayout w:type="fixed"/>
        <w:tblLook w:val="0000" w:firstRow="0" w:lastRow="0" w:firstColumn="0" w:lastColumn="0" w:noHBand="0" w:noVBand="0"/>
      </w:tblPr>
      <w:tblGrid>
        <w:gridCol w:w="5949"/>
        <w:gridCol w:w="4819"/>
      </w:tblGrid>
      <w:tr w:rsidR="006C6ADC" w:rsidRPr="008E3A08" w:rsidTr="00157CDE">
        <w:trPr>
          <w:trHeight w:val="152"/>
        </w:trPr>
        <w:tc>
          <w:tcPr>
            <w:tcW w:w="5949" w:type="dxa"/>
            <w:tcBorders>
              <w:top w:val="single" w:sz="8" w:space="0" w:color="000000"/>
              <w:left w:val="single" w:sz="8" w:space="0" w:color="000000"/>
              <w:bottom w:val="single" w:sz="8" w:space="0" w:color="000000"/>
              <w:right w:val="single" w:sz="8" w:space="0" w:color="000000"/>
            </w:tcBorders>
          </w:tcPr>
          <w:p w:rsidR="006C6ADC" w:rsidRPr="008E3A08" w:rsidRDefault="006C6ADC" w:rsidP="00157CDE">
            <w:pPr>
              <w:autoSpaceDE w:val="0"/>
              <w:autoSpaceDN w:val="0"/>
              <w:adjustRightInd w:val="0"/>
              <w:spacing w:before="80" w:after="80"/>
              <w:rPr>
                <w:rFonts w:ascii="Arial" w:hAnsi="Arial" w:cs="Arial"/>
                <w:color w:val="000000"/>
              </w:rPr>
            </w:pPr>
            <w:r w:rsidRPr="008E3A08">
              <w:rPr>
                <w:rFonts w:ascii="Garamond" w:hAnsi="Garamond" w:cs="Garamond"/>
                <w:color w:val="000000"/>
                <w:sz w:val="23"/>
                <w:szCs w:val="23"/>
              </w:rPr>
              <w:t xml:space="preserve">Whether a reaction to the TST is classified as positive depends on the size of the induration and the person's medical and epidemiologic risk factors for TB. Patients who have a positive TST reaction should receive a clinical evaluation, including a chest x-ray, to rule out active TB disease. </w:t>
            </w:r>
            <w:r w:rsidRPr="008E3A08">
              <w:rPr>
                <w:rFonts w:ascii="Arial" w:hAnsi="Arial" w:cs="Arial"/>
                <w:b/>
                <w:bCs/>
                <w:color w:val="000000"/>
                <w:sz w:val="22"/>
                <w:szCs w:val="22"/>
              </w:rPr>
              <w:t xml:space="preserve">5 or more millimeters of induration </w:t>
            </w:r>
          </w:p>
        </w:tc>
        <w:tc>
          <w:tcPr>
            <w:tcW w:w="4819" w:type="dxa"/>
            <w:tcBorders>
              <w:top w:val="single" w:sz="8" w:space="0" w:color="000000"/>
              <w:left w:val="single" w:sz="8" w:space="0" w:color="000000"/>
              <w:bottom w:val="single" w:sz="8" w:space="0" w:color="000000"/>
              <w:right w:val="single" w:sz="8" w:space="0" w:color="000000"/>
            </w:tcBorders>
          </w:tcPr>
          <w:p w:rsidR="006C6ADC" w:rsidRPr="008E3A08" w:rsidRDefault="006C6ADC" w:rsidP="00157CDE">
            <w:pPr>
              <w:autoSpaceDE w:val="0"/>
              <w:autoSpaceDN w:val="0"/>
              <w:adjustRightInd w:val="0"/>
              <w:spacing w:before="80" w:after="80"/>
              <w:rPr>
                <w:rFonts w:ascii="Arial" w:hAnsi="Arial" w:cs="Arial"/>
                <w:color w:val="000000"/>
              </w:rPr>
            </w:pPr>
            <w:r w:rsidRPr="008E3A08">
              <w:rPr>
                <w:rFonts w:ascii="Arial" w:hAnsi="Arial" w:cs="Arial"/>
                <w:b/>
                <w:bCs/>
                <w:color w:val="000000"/>
                <w:sz w:val="22"/>
                <w:szCs w:val="22"/>
              </w:rPr>
              <w:t xml:space="preserve">10 or more millimeters of induration </w:t>
            </w:r>
          </w:p>
        </w:tc>
      </w:tr>
      <w:tr w:rsidR="006C6ADC" w:rsidRPr="008E3A08" w:rsidTr="00157CDE">
        <w:trPr>
          <w:trHeight w:val="3694"/>
        </w:trPr>
        <w:tc>
          <w:tcPr>
            <w:tcW w:w="5949" w:type="dxa"/>
            <w:tcBorders>
              <w:top w:val="single" w:sz="8" w:space="0" w:color="000000"/>
              <w:left w:val="single" w:sz="8" w:space="0" w:color="000000"/>
              <w:bottom w:val="single" w:sz="8" w:space="0" w:color="000000"/>
              <w:right w:val="single" w:sz="8" w:space="0" w:color="000000"/>
            </w:tcBorders>
          </w:tcPr>
          <w:p w:rsidR="006C6ADC" w:rsidRPr="008E3A08" w:rsidRDefault="006C6ADC" w:rsidP="00157CDE">
            <w:pPr>
              <w:autoSpaceDE w:val="0"/>
              <w:autoSpaceDN w:val="0"/>
              <w:adjustRightInd w:val="0"/>
              <w:rPr>
                <w:rFonts w:ascii="Arial" w:hAnsi="Arial"/>
              </w:rPr>
            </w:pP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Significant exposure to anyone with suspected or known TB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Any individual being evaluated for disease consistent with tuberculosis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Persons with x-ray evidence of old, healed TB (e.g., stable, fibrotic upper lobe infiltrates) </w:t>
            </w:r>
          </w:p>
          <w:p w:rsidR="006C6ADC" w:rsidRPr="008E3A08" w:rsidRDefault="006C6ADC" w:rsidP="00157CDE">
            <w:pPr>
              <w:autoSpaceDE w:val="0"/>
              <w:autoSpaceDN w:val="0"/>
              <w:adjustRightInd w:val="0"/>
              <w:rPr>
                <w:rFonts w:ascii="Arial" w:hAnsi="Arial" w:cs="Arial"/>
                <w:color w:val="000000"/>
                <w:sz w:val="18"/>
                <w:szCs w:val="18"/>
              </w:rPr>
            </w:pPr>
          </w:p>
          <w:p w:rsidR="006C6ADC" w:rsidRPr="008E3A08" w:rsidRDefault="006C6ADC" w:rsidP="00157CDE">
            <w:pPr>
              <w:autoSpaceDE w:val="0"/>
              <w:autoSpaceDN w:val="0"/>
              <w:adjustRightInd w:val="0"/>
              <w:spacing w:before="60" w:after="60"/>
              <w:ind w:hanging="36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Persons with behavioral risk factors for HIV infection who decline HIV testing, including persons of unknown HIV status who have a history of drug injection </w:t>
            </w:r>
            <w:r w:rsidRPr="008E3A08">
              <w:rPr>
                <w:rFonts w:ascii="Arial" w:hAnsi="Arial" w:cs="Arial"/>
                <w:b/>
                <w:bCs/>
                <w:color w:val="000000"/>
                <w:position w:val="8"/>
                <w:sz w:val="18"/>
                <w:szCs w:val="18"/>
                <w:vertAlign w:val="superscript"/>
              </w:rPr>
              <w:t xml:space="preserve">‡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Immunosuppressive conditions or patients currently taking or planning to take certain medications: </w:t>
            </w:r>
            <w:r w:rsidRPr="008E3A08">
              <w:rPr>
                <w:rFonts w:ascii="Arial" w:hAnsi="Arial" w:cs="Arial"/>
                <w:b/>
                <w:bCs/>
                <w:color w:val="000000"/>
                <w:position w:val="6"/>
                <w:sz w:val="18"/>
                <w:szCs w:val="18"/>
                <w:vertAlign w:val="superscript"/>
              </w:rPr>
              <w:t xml:space="preserve">‡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HIV-seropositive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Congenital conditions causing immunosuppression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Malignancies / cancers (e.g. cancer of the head and neck, lymphomas, leukemias)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Individuals receiving the equivalent of &gt; 15 mg/day of prednisone for at least one month. (Children receiving 0.5 mg/kg/day of prednisone)Individuals receiving inhaled steroids are not usually considered at increased risk unless unusually large doses are given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Chemotherapy for cancer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Tumor Necrosis Factor (TNF) blockers such as infliximab (Remicade), etanercept (Enbrel) for arthritis/Crohn’s disease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Transplant patients (solid organ or bone marrow) on medications to prevent rejection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Other medications such as methotrexate or cytoxan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Those having an Immigration and Naturalization Service (INS) “change of status” exam </w:t>
            </w:r>
          </w:p>
          <w:p w:rsidR="006C6ADC" w:rsidRPr="008E3A08" w:rsidRDefault="006C6ADC" w:rsidP="00157CDE">
            <w:pPr>
              <w:autoSpaceDE w:val="0"/>
              <w:autoSpaceDN w:val="0"/>
              <w:adjustRightInd w:val="0"/>
              <w:rPr>
                <w:rFonts w:ascii="Arial" w:hAnsi="Arial" w:cs="Arial"/>
                <w:color w:val="000000"/>
                <w:sz w:val="18"/>
                <w:szCs w:val="18"/>
              </w:rPr>
            </w:pPr>
          </w:p>
        </w:tc>
        <w:tc>
          <w:tcPr>
            <w:tcW w:w="4819" w:type="dxa"/>
            <w:tcBorders>
              <w:top w:val="single" w:sz="8" w:space="0" w:color="000000"/>
              <w:left w:val="single" w:sz="8" w:space="0" w:color="000000"/>
              <w:bottom w:val="single" w:sz="8" w:space="0" w:color="000000"/>
              <w:right w:val="single" w:sz="8" w:space="0" w:color="000000"/>
            </w:tcBorders>
          </w:tcPr>
          <w:p w:rsidR="006C6ADC" w:rsidRPr="008E3A08" w:rsidRDefault="006C6ADC" w:rsidP="00157CDE">
            <w:pPr>
              <w:autoSpaceDE w:val="0"/>
              <w:autoSpaceDN w:val="0"/>
              <w:adjustRightInd w:val="0"/>
              <w:rPr>
                <w:rFonts w:ascii="Arial" w:hAnsi="Arial"/>
              </w:rPr>
            </w:pP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All children younger than 5 years old (i.e., up to the day of the fifth birthday)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Persons who were born or lived in a country or area where TB incidence is high (e.g. Asia, Africa, Latin America, Eastern Europe, Russia or parts of Western Europe)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Employees (including volunteers) or residents of congregate settings, such as hospitals, correctional facilities, homeless shelters, nursing homes, or drug treatment centers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Employees or volunteers in health care facilities </w:t>
            </w:r>
          </w:p>
          <w:p w:rsidR="006C6ADC" w:rsidRPr="008E3A08" w:rsidRDefault="006C6ADC" w:rsidP="00157CDE">
            <w:pPr>
              <w:autoSpaceDE w:val="0"/>
              <w:autoSpaceDN w:val="0"/>
              <w:adjustRightInd w:val="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Persons with a history of drug injection or substance abuse (i.e., alcohol abuse or crack cocaine use) who are known to be HIV seronegative </w:t>
            </w:r>
          </w:p>
          <w:p w:rsidR="006C6ADC" w:rsidRPr="008E3A08" w:rsidRDefault="006C6ADC" w:rsidP="00157CDE">
            <w:pPr>
              <w:autoSpaceDE w:val="0"/>
              <w:autoSpaceDN w:val="0"/>
              <w:adjustRightInd w:val="0"/>
              <w:rPr>
                <w:rFonts w:ascii="Arial" w:hAnsi="Arial" w:cs="Arial"/>
                <w:color w:val="000000"/>
                <w:sz w:val="18"/>
                <w:szCs w:val="18"/>
              </w:rPr>
            </w:pPr>
          </w:p>
          <w:p w:rsidR="006C6ADC" w:rsidRPr="008E3A08" w:rsidRDefault="006C6ADC" w:rsidP="00157CDE">
            <w:pPr>
              <w:autoSpaceDE w:val="0"/>
              <w:autoSpaceDN w:val="0"/>
              <w:adjustRightInd w:val="0"/>
              <w:spacing w:before="60" w:after="60"/>
              <w:ind w:hanging="360"/>
              <w:rPr>
                <w:rFonts w:ascii="Arial" w:hAnsi="Arial" w:cs="Arial"/>
                <w:color w:val="000000"/>
                <w:sz w:val="18"/>
                <w:szCs w:val="18"/>
              </w:rPr>
            </w:pPr>
            <w:r w:rsidRPr="008E3A08">
              <w:rPr>
                <w:rFonts w:ascii="Wingdings" w:hAnsi="Wingdings" w:cs="Wingdings"/>
                <w:color w:val="000000"/>
                <w:sz w:val="18"/>
                <w:szCs w:val="18"/>
              </w:rPr>
              <w:t>􀂃</w:t>
            </w:r>
            <w:r w:rsidRPr="008E3A08">
              <w:rPr>
                <w:rFonts w:ascii="Wingdings" w:hAnsi="Wingdings" w:cs="Wingdings"/>
                <w:color w:val="000000"/>
                <w:sz w:val="18"/>
                <w:szCs w:val="18"/>
              </w:rPr>
              <w:t></w:t>
            </w:r>
            <w:r w:rsidRPr="008E3A08">
              <w:rPr>
                <w:rFonts w:ascii="Arial" w:hAnsi="Arial" w:cs="Arial"/>
                <w:color w:val="000000"/>
                <w:sz w:val="18"/>
                <w:szCs w:val="18"/>
              </w:rPr>
              <w:t xml:space="preserve">Persons with an increased risk of progression to TB disease (excluding HIV) such as: diabetes mellitus, silicosis, cancer of the head and neck, hematologic and reticuloendothelial disease (e.g., leukemia and Hodgkin's disease), end-stage renal disease, intestinal bypass or gastrectomy, chronic malabsorption syndromes, or low body weight (10% or more below ideal) </w:t>
            </w:r>
            <w:r w:rsidRPr="008E3A08">
              <w:rPr>
                <w:rFonts w:ascii="Arial" w:hAnsi="Arial" w:cs="Arial"/>
                <w:color w:val="000000"/>
                <w:position w:val="6"/>
                <w:sz w:val="18"/>
                <w:szCs w:val="18"/>
                <w:vertAlign w:val="superscript"/>
              </w:rPr>
              <w:t xml:space="preserve">‡ </w:t>
            </w:r>
          </w:p>
        </w:tc>
      </w:tr>
    </w:tbl>
    <w:p w:rsidR="006C6ADC" w:rsidRPr="008E3A08" w:rsidRDefault="006C6ADC" w:rsidP="006C6ADC">
      <w:pPr>
        <w:autoSpaceDE w:val="0"/>
        <w:autoSpaceDN w:val="0"/>
        <w:adjustRightInd w:val="0"/>
        <w:rPr>
          <w:color w:val="000000"/>
          <w:sz w:val="18"/>
          <w:szCs w:val="18"/>
        </w:rPr>
      </w:pPr>
      <w:r w:rsidRPr="008E3A08">
        <w:rPr>
          <w:b/>
          <w:bCs/>
          <w:color w:val="000000"/>
          <w:sz w:val="18"/>
          <w:szCs w:val="18"/>
        </w:rPr>
        <w:t xml:space="preserve">‡ </w:t>
      </w:r>
      <w:r w:rsidRPr="008E3A08">
        <w:rPr>
          <w:color w:val="000000"/>
          <w:sz w:val="18"/>
          <w:szCs w:val="18"/>
        </w:rPr>
        <w:t xml:space="preserve">Common causes of anergy, the patient may have a negative or a smaller TST test despite having TB infection. </w:t>
      </w:r>
    </w:p>
    <w:p w:rsidR="006C6ADC" w:rsidRDefault="006C6ADC" w:rsidP="006C6ADC">
      <w:pPr>
        <w:autoSpaceDE w:val="0"/>
        <w:autoSpaceDN w:val="0"/>
        <w:adjustRightInd w:val="0"/>
        <w:spacing w:after="160"/>
        <w:ind w:left="720" w:hanging="360"/>
        <w:rPr>
          <w:rFonts w:ascii="Garamond" w:hAnsi="Garamond" w:cs="Garamond"/>
          <w:color w:val="000000"/>
          <w:sz w:val="23"/>
          <w:szCs w:val="23"/>
        </w:rPr>
      </w:pPr>
    </w:p>
    <w:p w:rsidR="006C6ADC" w:rsidRPr="008E3A08" w:rsidRDefault="006C6ADC" w:rsidP="006C6ADC">
      <w:pPr>
        <w:autoSpaceDE w:val="0"/>
        <w:autoSpaceDN w:val="0"/>
        <w:adjustRightInd w:val="0"/>
        <w:spacing w:after="160"/>
        <w:ind w:left="720" w:hanging="360"/>
        <w:rPr>
          <w:rFonts w:ascii="Garamond" w:hAnsi="Garamond" w:cs="Garamond"/>
          <w:color w:val="000000"/>
          <w:sz w:val="23"/>
          <w:szCs w:val="23"/>
        </w:rPr>
      </w:pPr>
      <w:r w:rsidRPr="008E3A08">
        <w:rPr>
          <w:rFonts w:ascii="Garamond" w:hAnsi="Garamond" w:cs="Garamond"/>
          <w:color w:val="000000"/>
          <w:sz w:val="23"/>
          <w:szCs w:val="23"/>
        </w:rPr>
        <w:t xml:space="preserve">■ Do NOT place a TST if the individual has recently (within 6 wks) had a live virus vaccination (e.g. MMR, Varicella). It can result in a false-negative TST. </w:t>
      </w:r>
    </w:p>
    <w:p w:rsidR="006C6ADC" w:rsidRDefault="006C6ADC" w:rsidP="006C6ADC">
      <w:pPr>
        <w:autoSpaceDE w:val="0"/>
        <w:autoSpaceDN w:val="0"/>
        <w:adjustRightInd w:val="0"/>
        <w:spacing w:after="160"/>
        <w:ind w:left="720" w:hanging="360"/>
        <w:rPr>
          <w:rFonts w:ascii="Garamond" w:hAnsi="Garamond" w:cs="Garamond"/>
          <w:color w:val="000000"/>
          <w:sz w:val="23"/>
          <w:szCs w:val="23"/>
        </w:rPr>
      </w:pPr>
      <w:r w:rsidRPr="008E3A08">
        <w:rPr>
          <w:rFonts w:ascii="Garamond" w:hAnsi="Garamond" w:cs="Garamond"/>
          <w:color w:val="000000"/>
          <w:sz w:val="23"/>
          <w:szCs w:val="23"/>
        </w:rPr>
        <w:t xml:space="preserve">■ Low risk patients do not need screening. If a TST is placed, interpret as positive if &gt; 15 mm induration. </w:t>
      </w:r>
    </w:p>
    <w:p w:rsidR="006C6ADC" w:rsidRDefault="006C6ADC" w:rsidP="006C6ADC">
      <w:pPr>
        <w:autoSpaceDE w:val="0"/>
        <w:autoSpaceDN w:val="0"/>
        <w:adjustRightInd w:val="0"/>
        <w:spacing w:after="160"/>
        <w:ind w:left="720" w:hanging="360"/>
        <w:rPr>
          <w:rFonts w:ascii="Garamond" w:hAnsi="Garamond" w:cs="Garamond"/>
          <w:color w:val="000000"/>
          <w:sz w:val="23"/>
          <w:szCs w:val="23"/>
        </w:rPr>
      </w:pPr>
    </w:p>
    <w:p w:rsidR="006C6ADC" w:rsidRDefault="006C6ADC" w:rsidP="006C6ADC">
      <w:pPr>
        <w:autoSpaceDE w:val="0"/>
        <w:autoSpaceDN w:val="0"/>
        <w:adjustRightInd w:val="0"/>
        <w:spacing w:after="160"/>
        <w:ind w:left="720" w:hanging="360"/>
        <w:rPr>
          <w:rFonts w:ascii="Garamond" w:hAnsi="Garamond" w:cs="Garamond"/>
          <w:color w:val="000000"/>
          <w:sz w:val="23"/>
          <w:szCs w:val="23"/>
        </w:rPr>
      </w:pPr>
    </w:p>
    <w:p w:rsidR="006C6ADC" w:rsidRPr="008E3A08" w:rsidRDefault="006C6ADC" w:rsidP="006C6ADC">
      <w:pPr>
        <w:autoSpaceDE w:val="0"/>
        <w:autoSpaceDN w:val="0"/>
        <w:adjustRightInd w:val="0"/>
        <w:spacing w:before="320" w:after="160"/>
        <w:rPr>
          <w:rFonts w:ascii="Arial Black" w:hAnsi="Arial Black" w:cs="Arial Black"/>
          <w:sz w:val="28"/>
          <w:szCs w:val="28"/>
        </w:rPr>
      </w:pPr>
      <w:r w:rsidRPr="008E3A08">
        <w:rPr>
          <w:rFonts w:ascii="Arial Black" w:hAnsi="Arial Black" w:cs="Arial Black"/>
          <w:sz w:val="28"/>
          <w:szCs w:val="28"/>
        </w:rPr>
        <w:t xml:space="preserve">III. Clinical Evaluation for TB Infection and Active Disease </w:t>
      </w:r>
    </w:p>
    <w:p w:rsidR="006C6ADC" w:rsidRPr="008E3A08" w:rsidRDefault="006C6ADC" w:rsidP="006C6ADC">
      <w:pPr>
        <w:autoSpaceDE w:val="0"/>
        <w:autoSpaceDN w:val="0"/>
        <w:adjustRightInd w:val="0"/>
        <w:spacing w:before="200"/>
        <w:rPr>
          <w:rFonts w:ascii="Garamond" w:hAnsi="Garamond" w:cs="Garamond"/>
          <w:sz w:val="23"/>
          <w:szCs w:val="23"/>
        </w:rPr>
      </w:pPr>
      <w:r w:rsidRPr="008E3A08">
        <w:rPr>
          <w:rFonts w:ascii="Garamond" w:hAnsi="Garamond" w:cs="Garamond"/>
          <w:sz w:val="23"/>
          <w:szCs w:val="23"/>
        </w:rPr>
        <w:t xml:space="preserve">All individuals found to have a positive TST reaction should be screened by history for signs, symptoms and risk factors of active TB and should have a chest x-ray, to rule out pulmonary TB disease before initiating treatment for LTBI. The primary site of infection is the lung, but systemic dissemination of bacilli results in seeding of multiple organs. Hence, TB may present in variable combinations of pulmonary and extra pulmonary disease, especially in children. The likelihood of these presentations differs significantly depending on the age of the patient at the time, particularly the age at the time of primary infection. </w:t>
      </w:r>
    </w:p>
    <w:p w:rsidR="006C6ADC" w:rsidRPr="008E3A08" w:rsidRDefault="006C6ADC" w:rsidP="006C6ADC">
      <w:pPr>
        <w:autoSpaceDE w:val="0"/>
        <w:autoSpaceDN w:val="0"/>
        <w:adjustRightInd w:val="0"/>
        <w:spacing w:before="200"/>
        <w:rPr>
          <w:rFonts w:ascii="Garamond" w:hAnsi="Garamond" w:cs="Garamond"/>
          <w:sz w:val="23"/>
          <w:szCs w:val="23"/>
        </w:rPr>
      </w:pPr>
      <w:r w:rsidRPr="008E3A08">
        <w:rPr>
          <w:rFonts w:ascii="Garamond" w:hAnsi="Garamond" w:cs="Garamond"/>
          <w:sz w:val="23"/>
          <w:szCs w:val="23"/>
        </w:rPr>
        <w:t xml:space="preserve">NOTE: The presence of TB symptoms should always lead to a new clinical and/or chest x-ray evaluation. </w:t>
      </w:r>
    </w:p>
    <w:p w:rsidR="006C6ADC" w:rsidRPr="008E3A08" w:rsidRDefault="006C6ADC" w:rsidP="006C6ADC">
      <w:pPr>
        <w:autoSpaceDE w:val="0"/>
        <w:autoSpaceDN w:val="0"/>
        <w:adjustRightInd w:val="0"/>
        <w:spacing w:before="240" w:after="60"/>
        <w:rPr>
          <w:rFonts w:ascii="Arial" w:hAnsi="Arial" w:cs="Arial"/>
          <w:sz w:val="28"/>
          <w:szCs w:val="28"/>
        </w:rPr>
      </w:pPr>
      <w:bookmarkStart w:id="7" w:name="TBPXray"/>
      <w:bookmarkEnd w:id="7"/>
      <w:r w:rsidRPr="008E3A08">
        <w:rPr>
          <w:rFonts w:ascii="Arial" w:hAnsi="Arial" w:cs="Arial"/>
          <w:b/>
          <w:bCs/>
          <w:i/>
          <w:iCs/>
          <w:sz w:val="28"/>
          <w:szCs w:val="28"/>
        </w:rPr>
        <w:t xml:space="preserve">A. Chest X-Rays </w:t>
      </w:r>
    </w:p>
    <w:p w:rsidR="006C6ADC" w:rsidRPr="008E3A08" w:rsidRDefault="006C6ADC" w:rsidP="006C6ADC">
      <w:pPr>
        <w:autoSpaceDE w:val="0"/>
        <w:autoSpaceDN w:val="0"/>
        <w:adjustRightInd w:val="0"/>
        <w:spacing w:before="320" w:after="160"/>
        <w:ind w:left="720"/>
        <w:rPr>
          <w:rFonts w:ascii="Arial Narrow" w:hAnsi="Arial Narrow" w:cs="Arial Narrow"/>
          <w:sz w:val="23"/>
          <w:szCs w:val="23"/>
        </w:rPr>
      </w:pPr>
      <w:r w:rsidRPr="008E3A08">
        <w:rPr>
          <w:rFonts w:ascii="Arial Narrow" w:hAnsi="Arial Narrow" w:cs="Arial Narrow"/>
          <w:b/>
          <w:bCs/>
          <w:sz w:val="23"/>
          <w:szCs w:val="23"/>
        </w:rPr>
        <w:t xml:space="preserve">1. Chest x-ray views </w:t>
      </w:r>
    </w:p>
    <w:p w:rsidR="006C6ADC" w:rsidRPr="008E3A08"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b/>
          <w:bCs/>
          <w:sz w:val="23"/>
          <w:szCs w:val="23"/>
        </w:rPr>
        <w:t>PA and Lateral</w:t>
      </w:r>
      <w:r w:rsidRPr="008E3A08">
        <w:rPr>
          <w:rFonts w:ascii="Garamond" w:hAnsi="Garamond" w:cs="Garamond"/>
          <w:sz w:val="23"/>
          <w:szCs w:val="23"/>
        </w:rPr>
        <w:t xml:space="preserve">. Children 12 years of age or younger (i.e., up to the 13th birthday) should have both a PA and a lateral chest x-ray (age 12 years recommended by John Ogle M.D., 2002 ATS/CDC guidelines say age 5 years). The lateral view is important to help visualize adenopathy. </w:t>
      </w:r>
    </w:p>
    <w:p w:rsidR="006C6ADC"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b/>
          <w:bCs/>
          <w:sz w:val="23"/>
          <w:szCs w:val="23"/>
        </w:rPr>
        <w:t>PA only</w:t>
      </w:r>
      <w:r w:rsidRPr="008E3A08">
        <w:rPr>
          <w:rFonts w:ascii="Garamond" w:hAnsi="Garamond" w:cs="Garamond"/>
          <w:sz w:val="23"/>
          <w:szCs w:val="23"/>
        </w:rPr>
        <w:t xml:space="preserve">. Children and adults over age 13 years only need a PA view, with additional views at the provider’s discretion. </w:t>
      </w:r>
    </w:p>
    <w:p w:rsidR="006C6ADC" w:rsidRPr="008E3A08" w:rsidRDefault="006C6ADC" w:rsidP="006C6ADC">
      <w:pPr>
        <w:autoSpaceDE w:val="0"/>
        <w:autoSpaceDN w:val="0"/>
        <w:adjustRightInd w:val="0"/>
        <w:spacing w:after="160"/>
        <w:ind w:left="720"/>
        <w:rPr>
          <w:rFonts w:ascii="Arial Narrow" w:hAnsi="Arial Narrow" w:cs="Arial Narrow"/>
          <w:sz w:val="23"/>
          <w:szCs w:val="23"/>
        </w:rPr>
      </w:pPr>
      <w:r w:rsidRPr="008E3A08">
        <w:rPr>
          <w:rFonts w:ascii="Arial Narrow" w:hAnsi="Arial Narrow" w:cs="Arial Narrow"/>
          <w:b/>
          <w:bCs/>
          <w:sz w:val="23"/>
          <w:szCs w:val="23"/>
        </w:rPr>
        <w:t xml:space="preserve">2. Scheduling and timing of chest x-rays </w:t>
      </w:r>
    </w:p>
    <w:p w:rsidR="006C6ADC" w:rsidRPr="008E3A08"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sz w:val="23"/>
          <w:szCs w:val="23"/>
        </w:rPr>
        <w:t xml:space="preserve">Chest x-rays should be performed at the hospital. (If possible, for pediatric films, try to have them taken between 7am and 3pm Monday through Thursday. The quality of the film is usually much better, and the need to repeat the films is dramatically reduced if films are taken at these times. An under-penetrated or uninflated film is still easily interpretable where the question is bronchiolitis, but usually needs to be repeated if the question is TB.) </w:t>
      </w:r>
    </w:p>
    <w:p w:rsidR="006C6ADC"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sz w:val="23"/>
          <w:szCs w:val="23"/>
        </w:rPr>
        <w:t xml:space="preserve">Indicate on the chest x-ray request that the patient has a positive TST. Inadvertent treatment of active TB with isoniazid alone can lead to acquired drug-resistance, so the timing of a chest x-ray before starting LTBI treatment is important. </w:t>
      </w:r>
    </w:p>
    <w:p w:rsidR="006C6ADC" w:rsidRPr="008E3A08" w:rsidRDefault="00B57A9E" w:rsidP="006C6ADC">
      <w:pPr>
        <w:autoSpaceDE w:val="0"/>
        <w:autoSpaceDN w:val="0"/>
        <w:adjustRightInd w:val="0"/>
        <w:spacing w:after="160"/>
        <w:ind w:left="720"/>
        <w:rPr>
          <w:rFonts w:ascii="Garamond" w:hAnsi="Garamond" w:cs="Garamond"/>
          <w:sz w:val="23"/>
          <w:szCs w:val="23"/>
        </w:rPr>
      </w:pPr>
      <w:hyperlink w:anchor="Chestxray" w:history="1">
        <w:r w:rsidR="006C6ADC" w:rsidRPr="00187667">
          <w:rPr>
            <w:rStyle w:val="Hyperlink"/>
            <w:rFonts w:ascii="Garamond" w:hAnsi="Garamond" w:cs="Garamond"/>
            <w:sz w:val="23"/>
            <w:szCs w:val="23"/>
          </w:rPr>
          <w:t>Back to top</w:t>
        </w:r>
      </w:hyperlink>
    </w:p>
    <w:p w:rsidR="006C6ADC" w:rsidRPr="008E3A08" w:rsidRDefault="006C6ADC" w:rsidP="006C6ADC">
      <w:pPr>
        <w:autoSpaceDE w:val="0"/>
        <w:autoSpaceDN w:val="0"/>
        <w:adjustRightInd w:val="0"/>
        <w:spacing w:before="320" w:after="160"/>
        <w:ind w:left="720"/>
        <w:rPr>
          <w:rFonts w:ascii="Arial Narrow" w:hAnsi="Arial Narrow" w:cs="Arial Narrow"/>
          <w:sz w:val="23"/>
          <w:szCs w:val="23"/>
        </w:rPr>
      </w:pPr>
      <w:r w:rsidRPr="008E3A08">
        <w:rPr>
          <w:rFonts w:ascii="Arial Narrow" w:hAnsi="Arial Narrow" w:cs="Arial Narrow"/>
          <w:b/>
          <w:bCs/>
          <w:sz w:val="23"/>
          <w:szCs w:val="23"/>
        </w:rPr>
        <w:t xml:space="preserve">3. Chest x-ray findings </w:t>
      </w:r>
    </w:p>
    <w:p w:rsidR="006C6ADC" w:rsidRPr="008E3A08"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b/>
          <w:bCs/>
          <w:sz w:val="23"/>
          <w:szCs w:val="23"/>
        </w:rPr>
        <w:t>Abnormal films</w:t>
      </w:r>
      <w:r w:rsidRPr="008E3A08">
        <w:rPr>
          <w:rFonts w:ascii="Garamond" w:hAnsi="Garamond" w:cs="Garamond"/>
          <w:sz w:val="23"/>
          <w:szCs w:val="23"/>
        </w:rPr>
        <w:t>. If the initial chest x-ray is abnormal and compatible with active or inactive TB, send</w:t>
      </w:r>
      <w:r w:rsidR="009F17F3">
        <w:rPr>
          <w:rFonts w:ascii="Garamond" w:hAnsi="Garamond" w:cs="Garamond"/>
          <w:sz w:val="23"/>
          <w:szCs w:val="23"/>
        </w:rPr>
        <w:t xml:space="preserve"> the patient to the Orange County Health Care Agency</w:t>
      </w:r>
      <w:r w:rsidRPr="008E3A08">
        <w:rPr>
          <w:rFonts w:ascii="Garamond" w:hAnsi="Garamond" w:cs="Garamond"/>
          <w:sz w:val="23"/>
          <w:szCs w:val="23"/>
        </w:rPr>
        <w:t xml:space="preserve"> TB Clinic for further evaluation. </w:t>
      </w:r>
    </w:p>
    <w:p w:rsidR="006C6ADC" w:rsidRPr="008E3A08" w:rsidRDefault="006C6ADC" w:rsidP="006C6ADC">
      <w:pPr>
        <w:autoSpaceDE w:val="0"/>
        <w:autoSpaceDN w:val="0"/>
        <w:adjustRightInd w:val="0"/>
        <w:spacing w:after="160"/>
        <w:ind w:left="720"/>
        <w:rPr>
          <w:rFonts w:ascii="Garamond" w:hAnsi="Garamond" w:cs="Garamond"/>
          <w:sz w:val="23"/>
          <w:szCs w:val="23"/>
        </w:rPr>
      </w:pPr>
      <w:r w:rsidRPr="008E3A08">
        <w:rPr>
          <w:rFonts w:ascii="Garamond" w:hAnsi="Garamond" w:cs="Garamond"/>
          <w:sz w:val="23"/>
          <w:szCs w:val="23"/>
        </w:rPr>
        <w:t xml:space="preserve">Radiographically, active TB is characterized by various combinations of: hilar, mediastinal, and/or paratracheal lymphadenopathy; atelectasis, consolidation of lung parenchyma; mid- and lower lung zone infiltrates or scarring; nodules; calcifications and pleural effusion. Cavitary lesions and upper lobe infiltrates, which are typical in adult TB, are uncommon in children, but may be seen with malnutrition, immunodeficiency or in adolescents. A study of immigrants undergoing INS “change of status” exams in </w:t>
      </w:r>
      <w:smartTag w:uri="urn:schemas-microsoft-com:office:smarttags" w:element="City">
        <w:smartTag w:uri="urn:schemas-microsoft-com:office:smarttags" w:element="place">
          <w:r w:rsidRPr="008E3A08">
            <w:rPr>
              <w:rFonts w:ascii="Garamond" w:hAnsi="Garamond" w:cs="Garamond"/>
              <w:sz w:val="23"/>
              <w:szCs w:val="23"/>
            </w:rPr>
            <w:t>Denver</w:t>
          </w:r>
        </w:smartTag>
      </w:smartTag>
      <w:r w:rsidRPr="008E3A08">
        <w:rPr>
          <w:rFonts w:ascii="Garamond" w:hAnsi="Garamond" w:cs="Garamond"/>
          <w:sz w:val="23"/>
          <w:szCs w:val="23"/>
        </w:rPr>
        <w:t xml:space="preserve"> found 42% were PPD-positive. Chest x-rays with any abnormality were found in 10% of TST-positive immigrants, and 1.7% of those </w:t>
      </w:r>
      <w:r w:rsidRPr="008E3A08">
        <w:rPr>
          <w:rFonts w:ascii="Garamond" w:hAnsi="Garamond" w:cs="Garamond"/>
          <w:sz w:val="23"/>
          <w:szCs w:val="23"/>
        </w:rPr>
        <w:lastRenderedPageBreak/>
        <w:t xml:space="preserve">evaluated for abnormal X-rays had active TB. Thus, active TB was found in 1.7 per 1,000 immigrants with a positive TST. </w:t>
      </w:r>
    </w:p>
    <w:p w:rsidR="007579F1" w:rsidRPr="008E3A08" w:rsidRDefault="007579F1" w:rsidP="007579F1">
      <w:pPr>
        <w:autoSpaceDE w:val="0"/>
        <w:autoSpaceDN w:val="0"/>
        <w:adjustRightInd w:val="0"/>
        <w:spacing w:after="160"/>
        <w:ind w:left="720"/>
        <w:rPr>
          <w:rFonts w:ascii="Garamond" w:hAnsi="Garamond" w:cs="Garamond"/>
          <w:sz w:val="23"/>
          <w:szCs w:val="23"/>
        </w:rPr>
      </w:pPr>
      <w:r w:rsidRPr="008E3A08">
        <w:rPr>
          <w:rFonts w:ascii="Garamond" w:hAnsi="Garamond" w:cs="Garamond"/>
          <w:b/>
          <w:bCs/>
          <w:sz w:val="23"/>
          <w:szCs w:val="23"/>
        </w:rPr>
        <w:t>Normal films</w:t>
      </w:r>
      <w:r w:rsidRPr="008E3A08">
        <w:rPr>
          <w:rFonts w:ascii="Garamond" w:hAnsi="Garamond" w:cs="Garamond"/>
          <w:sz w:val="23"/>
          <w:szCs w:val="23"/>
        </w:rPr>
        <w:t xml:space="preserve">. If the initial chest x-ray is normal, the individual may receive their LTBI treatment through Community Health Services. Repeat chest x-rays are not indicated unless the individual develops signs or symptoms of TB disease. Anyone considering LTBI treatment should have a current chest x-ray to rule out active pulmonary TB disease. </w:t>
      </w:r>
    </w:p>
    <w:p w:rsidR="007579F1" w:rsidRPr="001E612D" w:rsidRDefault="00B57A9E" w:rsidP="007579F1">
      <w:pPr>
        <w:widowControl w:val="0"/>
        <w:tabs>
          <w:tab w:val="right" w:pos="10260"/>
        </w:tabs>
        <w:spacing w:before="20" w:after="20"/>
        <w:rPr>
          <w:rFonts w:ascii="Garamond" w:hAnsi="Garamond" w:cs="Arial Narrow"/>
          <w:b/>
          <w:bCs/>
          <w:sz w:val="23"/>
          <w:szCs w:val="23"/>
        </w:rPr>
      </w:pPr>
      <w:hyperlink w:anchor="Education" w:history="1">
        <w:r w:rsidR="007579F1" w:rsidRPr="001E612D">
          <w:rPr>
            <w:rStyle w:val="Hyperlink"/>
            <w:rFonts w:ascii="Garamond" w:hAnsi="Garamond" w:cs="Arial Narrow"/>
            <w:b/>
            <w:bCs/>
            <w:sz w:val="23"/>
            <w:szCs w:val="23"/>
          </w:rPr>
          <w:t>Back to top</w:t>
        </w:r>
      </w:hyperlink>
    </w:p>
    <w:p w:rsidR="007579F1" w:rsidRPr="006320C9" w:rsidRDefault="007579F1" w:rsidP="007579F1">
      <w:pPr>
        <w:autoSpaceDE w:val="0"/>
        <w:autoSpaceDN w:val="0"/>
        <w:adjustRightInd w:val="0"/>
        <w:spacing w:before="240" w:after="60"/>
        <w:rPr>
          <w:rFonts w:ascii="Arial" w:hAnsi="Arial" w:cs="Arial"/>
          <w:color w:val="000000"/>
          <w:sz w:val="28"/>
          <w:szCs w:val="28"/>
        </w:rPr>
      </w:pPr>
      <w:r w:rsidRPr="006320C9">
        <w:rPr>
          <w:rFonts w:ascii="Arial" w:hAnsi="Arial" w:cs="Arial"/>
          <w:b/>
          <w:bCs/>
          <w:i/>
          <w:iCs/>
          <w:color w:val="000000"/>
          <w:sz w:val="28"/>
          <w:szCs w:val="28"/>
        </w:rPr>
        <w:t xml:space="preserve">C. </w:t>
      </w:r>
      <w:bookmarkStart w:id="8" w:name="SideEffects"/>
      <w:bookmarkEnd w:id="8"/>
      <w:r w:rsidRPr="006320C9">
        <w:rPr>
          <w:rFonts w:ascii="Arial" w:hAnsi="Arial" w:cs="Arial"/>
          <w:b/>
          <w:bCs/>
          <w:i/>
          <w:iCs/>
          <w:color w:val="000000"/>
          <w:sz w:val="28"/>
          <w:szCs w:val="28"/>
        </w:rPr>
        <w:t xml:space="preserve">Side Effects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t xml:space="preserve">Some of the common symptoms patients may present with are: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Fatigue, Malaise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Loss of appetite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Abdominal pain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Nausea, vomiting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Jaundice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Persistent dark urine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Abdominal tenderness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Peripheral neuropathies </w:t>
      </w:r>
      <w:r w:rsidRPr="006320C9">
        <w:rPr>
          <w:rFonts w:ascii="Garamond" w:hAnsi="Garamond" w:cs="Garamond"/>
          <w:color w:val="000000"/>
          <w:position w:val="10"/>
          <w:sz w:val="23"/>
          <w:szCs w:val="23"/>
          <w:vertAlign w:val="superscript"/>
        </w:rPr>
        <w:t xml:space="preserve">■ </w:t>
      </w:r>
      <w:r w:rsidRPr="006320C9">
        <w:rPr>
          <w:rFonts w:ascii="Garamond" w:hAnsi="Garamond" w:cs="Garamond"/>
          <w:color w:val="000000"/>
          <w:sz w:val="23"/>
          <w:szCs w:val="23"/>
        </w:rPr>
        <w:t xml:space="preserve">Itching/rash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Unexplained elevated temp &gt; 3 days </w:t>
      </w:r>
    </w:p>
    <w:p w:rsidR="007579F1" w:rsidRPr="006320C9" w:rsidRDefault="007579F1" w:rsidP="007579F1">
      <w:pPr>
        <w:autoSpaceDE w:val="0"/>
        <w:autoSpaceDN w:val="0"/>
        <w:adjustRightInd w:val="0"/>
        <w:rPr>
          <w:rFonts w:ascii="Garamond" w:hAnsi="Garamond" w:cs="Garamond"/>
          <w:color w:val="000000"/>
          <w:sz w:val="23"/>
          <w:szCs w:val="23"/>
        </w:rPr>
      </w:pP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b/>
          <w:bCs/>
          <w:color w:val="000000"/>
          <w:sz w:val="23"/>
          <w:szCs w:val="23"/>
        </w:rPr>
        <w:t xml:space="preserve">Hepatitis </w:t>
      </w:r>
      <w:r w:rsidRPr="006320C9">
        <w:rPr>
          <w:rFonts w:ascii="Garamond" w:hAnsi="Garamond" w:cs="Garamond"/>
          <w:color w:val="000000"/>
          <w:sz w:val="23"/>
          <w:szCs w:val="23"/>
        </w:rPr>
        <w:t xml:space="preserve">is the most severe toxic effect of isoniazid. Underlying liver conditions and concurrent use of other potentially hepatotoxic drugs and alcohol pose the greatest risk.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t xml:space="preserve">The risk for INH-related hepatitis is minimal in infants, children, and adolescents, who generally tolerate the drug better than adults. Young children have less than 1% risk of hepatotoxicity. Routine monitoring of serum liver enzyme concentrations is not necessary in healthy children or adults but should be considered in individuals with known liver disease, patients on hepatotoxic drugs, HIV-infected or others with compromised immune systems. Patients/parents should be counseled at each visit to watch for the early symptoms of hepatotoxicity, anorexia and malaise. Later symptoms are abdominal pain, nausea, and vomiting. Jaundice is a very late finding. The INH should be held and LFTs checked if symptoms of hepatotoxicity occur. In most individuals, LFTs will be normal. The most common cause of minor gastrointestinal symptoms is gastritis that generally improves with continuation of therapy. Therapy is interrupted only in asymptomatic individuals with liver function abnormality </w:t>
      </w:r>
      <w:r w:rsidRPr="007579F1">
        <w:rPr>
          <w:rFonts w:ascii="Garamond" w:hAnsi="Garamond" w:cs="Garamond"/>
          <w:b/>
          <w:color w:val="000000"/>
          <w:sz w:val="23"/>
          <w:szCs w:val="23"/>
        </w:rPr>
        <w:t>3-5 times</w:t>
      </w:r>
      <w:r w:rsidRPr="006320C9">
        <w:rPr>
          <w:rFonts w:ascii="Garamond" w:hAnsi="Garamond" w:cs="Garamond"/>
          <w:color w:val="000000"/>
          <w:sz w:val="23"/>
          <w:szCs w:val="23"/>
        </w:rPr>
        <w:t xml:space="preserve"> </w:t>
      </w:r>
      <w:r w:rsidRPr="007579F1">
        <w:rPr>
          <w:rFonts w:ascii="Garamond" w:hAnsi="Garamond" w:cs="Garamond"/>
          <w:b/>
          <w:color w:val="000000"/>
          <w:sz w:val="23"/>
          <w:szCs w:val="23"/>
        </w:rPr>
        <w:t>the normal range</w:t>
      </w:r>
      <w:r w:rsidRPr="006320C9">
        <w:rPr>
          <w:rFonts w:ascii="Garamond" w:hAnsi="Garamond" w:cs="Garamond"/>
          <w:color w:val="000000"/>
          <w:sz w:val="23"/>
          <w:szCs w:val="23"/>
        </w:rPr>
        <w:t xml:space="preserve"> or in symptomatic individuals with lesser degrees of hepatitis. When children taking anti-TB therapy develop hepatitis, a search for causes other than INH or other drugs should be undertaken and the therapy discontinued.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b/>
          <w:bCs/>
          <w:color w:val="000000"/>
          <w:sz w:val="23"/>
          <w:szCs w:val="23"/>
        </w:rPr>
        <w:t>Peripheral neuropathy</w:t>
      </w:r>
      <w:r w:rsidRPr="006320C9">
        <w:rPr>
          <w:rFonts w:ascii="Garamond" w:hAnsi="Garamond" w:cs="Garamond"/>
          <w:color w:val="000000"/>
          <w:sz w:val="23"/>
          <w:szCs w:val="23"/>
        </w:rPr>
        <w:t xml:space="preserve">, caused by interference with metabolism of pyridoxine (vitamin B6), is associated with INH administration but is uncommon in children on a normal diet or in adults when INH is given at a dose of 5 mg/kg. In persons with diabetes, uremia, alcoholism, malnutrition, and HIV infection, neuropathy is more common and pyridoxine should be given with INH. Pregnant women and persons with seizure disorders should also take both pyridoxine and INH. Routine administration of pyridoxine (vitamin B6) is not necessary for children taking INH, but may be considered for: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breastfeeding infants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children and adolescents with diets likely to be deficient in pyridoxine (meat/milk deficient diet, malnourished)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lastRenderedPageBreak/>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pregnant teens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HIV-infected children </w:t>
      </w:r>
    </w:p>
    <w:p w:rsidR="007579F1"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children who experience paresthesias while taking INH </w:t>
      </w:r>
    </w:p>
    <w:p w:rsidR="007579F1" w:rsidRDefault="007579F1" w:rsidP="007579F1">
      <w:pPr>
        <w:autoSpaceDE w:val="0"/>
        <w:autoSpaceDN w:val="0"/>
        <w:adjustRightInd w:val="0"/>
        <w:spacing w:after="160"/>
        <w:ind w:left="1080" w:hanging="360"/>
        <w:rPr>
          <w:rFonts w:ascii="Garamond" w:hAnsi="Garamond" w:cs="Garamond"/>
          <w:color w:val="000000"/>
          <w:sz w:val="23"/>
          <w:szCs w:val="23"/>
        </w:rPr>
      </w:pPr>
    </w:p>
    <w:p w:rsidR="007579F1" w:rsidRDefault="007579F1" w:rsidP="007579F1">
      <w:pPr>
        <w:autoSpaceDE w:val="0"/>
        <w:autoSpaceDN w:val="0"/>
        <w:adjustRightInd w:val="0"/>
        <w:spacing w:after="160"/>
        <w:ind w:left="1080" w:hanging="360"/>
        <w:rPr>
          <w:rFonts w:ascii="Garamond" w:hAnsi="Garamond" w:cs="Garamond"/>
          <w:color w:val="000000"/>
          <w:sz w:val="23"/>
          <w:szCs w:val="23"/>
        </w:rPr>
      </w:pPr>
    </w:p>
    <w:p w:rsidR="007579F1" w:rsidRDefault="007579F1" w:rsidP="007579F1">
      <w:pPr>
        <w:autoSpaceDE w:val="0"/>
        <w:autoSpaceDN w:val="0"/>
        <w:adjustRightInd w:val="0"/>
        <w:spacing w:after="160"/>
        <w:ind w:left="360"/>
        <w:rPr>
          <w:rFonts w:ascii="Garamond" w:hAnsi="Garamond" w:cs="Garamond"/>
          <w:color w:val="000000"/>
          <w:sz w:val="23"/>
          <w:szCs w:val="23"/>
        </w:rPr>
      </w:pPr>
      <w:r>
        <w:rPr>
          <w:rFonts w:ascii="Garamond" w:hAnsi="Garamond" w:cs="Garamond"/>
          <w:b/>
          <w:bCs/>
          <w:color w:val="000000"/>
          <w:sz w:val="23"/>
          <w:szCs w:val="23"/>
        </w:rPr>
        <w:t>M</w:t>
      </w:r>
      <w:r w:rsidRPr="006320C9">
        <w:rPr>
          <w:rFonts w:ascii="Garamond" w:hAnsi="Garamond" w:cs="Garamond"/>
          <w:b/>
          <w:bCs/>
          <w:color w:val="000000"/>
          <w:sz w:val="23"/>
          <w:szCs w:val="23"/>
        </w:rPr>
        <w:t xml:space="preserve">ild central nervous system effects </w:t>
      </w:r>
      <w:r w:rsidRPr="006320C9">
        <w:rPr>
          <w:rFonts w:ascii="Garamond" w:hAnsi="Garamond" w:cs="Garamond"/>
          <w:color w:val="000000"/>
          <w:sz w:val="23"/>
          <w:szCs w:val="23"/>
        </w:rPr>
        <w:t xml:space="preserve">(sleepiness, insomnia, headaches) are common with INH and may necessitate adjustments in the timing of administration of the drug to enhance compliance. Taking medications a couple of hours after eating rather than first thing in the morning on a completely empty stomach can often eliminate nausea and GI disturbances. Bedtime is a good time to suggest taking INH. </w:t>
      </w:r>
    </w:p>
    <w:p w:rsidR="007579F1" w:rsidRDefault="007579F1" w:rsidP="007579F1">
      <w:pPr>
        <w:autoSpaceDE w:val="0"/>
        <w:autoSpaceDN w:val="0"/>
        <w:adjustRightInd w:val="0"/>
        <w:spacing w:after="160"/>
        <w:ind w:left="360"/>
        <w:rPr>
          <w:rFonts w:ascii="Garamond" w:hAnsi="Garamond" w:cs="Garamond"/>
          <w:color w:val="000000"/>
          <w:sz w:val="23"/>
          <w:szCs w:val="23"/>
        </w:rPr>
      </w:pPr>
    </w:p>
    <w:p w:rsidR="007579F1" w:rsidRPr="006320C9" w:rsidRDefault="00B57A9E" w:rsidP="007579F1">
      <w:pPr>
        <w:autoSpaceDE w:val="0"/>
        <w:autoSpaceDN w:val="0"/>
        <w:adjustRightInd w:val="0"/>
        <w:spacing w:after="160"/>
        <w:ind w:left="360"/>
        <w:rPr>
          <w:rFonts w:ascii="Garamond" w:hAnsi="Garamond" w:cs="Garamond"/>
          <w:color w:val="000000"/>
          <w:sz w:val="23"/>
          <w:szCs w:val="23"/>
        </w:rPr>
      </w:pPr>
      <w:hyperlink w:anchor="Education" w:history="1">
        <w:r w:rsidR="007579F1" w:rsidRPr="00276ED1">
          <w:rPr>
            <w:rStyle w:val="Hyperlink"/>
            <w:rFonts w:ascii="Garamond" w:hAnsi="Garamond" w:cs="Garamond"/>
            <w:sz w:val="23"/>
            <w:szCs w:val="23"/>
          </w:rPr>
          <w:t>Back to top</w:t>
        </w:r>
      </w:hyperlink>
    </w:p>
    <w:p w:rsidR="007579F1" w:rsidRPr="006320C9" w:rsidRDefault="007579F1" w:rsidP="007579F1">
      <w:pPr>
        <w:autoSpaceDE w:val="0"/>
        <w:autoSpaceDN w:val="0"/>
        <w:adjustRightInd w:val="0"/>
        <w:spacing w:before="240" w:after="60"/>
        <w:rPr>
          <w:rFonts w:ascii="Arial" w:hAnsi="Arial" w:cs="Arial"/>
          <w:b/>
          <w:bCs/>
          <w:i/>
          <w:iCs/>
          <w:color w:val="000000"/>
          <w:sz w:val="28"/>
          <w:szCs w:val="28"/>
        </w:rPr>
      </w:pPr>
      <w:r w:rsidRPr="006320C9">
        <w:rPr>
          <w:rFonts w:ascii="Arial" w:hAnsi="Arial" w:cs="Arial"/>
          <w:b/>
          <w:bCs/>
          <w:i/>
          <w:iCs/>
          <w:color w:val="000000"/>
          <w:sz w:val="28"/>
          <w:szCs w:val="28"/>
        </w:rPr>
        <w:t xml:space="preserve">D. </w:t>
      </w:r>
      <w:bookmarkStart w:id="9" w:name="DrugInteractions"/>
      <w:bookmarkEnd w:id="9"/>
      <w:r w:rsidRPr="006320C9">
        <w:rPr>
          <w:rFonts w:ascii="Arial" w:hAnsi="Arial" w:cs="Arial"/>
          <w:b/>
          <w:bCs/>
          <w:i/>
          <w:iCs/>
          <w:color w:val="000000"/>
          <w:sz w:val="28"/>
          <w:szCs w:val="28"/>
        </w:rPr>
        <w:t xml:space="preserve">Drug Interactions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t xml:space="preserve">INH has been reported to inhibit the metabolism of the following drugs. Nurses prescribing LTBI treatment by protocol should discuss possible side effects and drug interactions with a provider if the patient is on any of the following medications as dosages of these drugs may need to be adjusted to prevent toxicity: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anticonvulsants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haldoperidol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ketoconazole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theophylline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warfarin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phenytoin- The interaction with isoniazid increases the serum concentration of both drugs, when given concomitantly, the serum level of phenytoin should be monitored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disulfiram (Antabuse)- Some publications recommend against the use of isoniazid for persons taking disulfiram, but a recent article showed it can be used safely in patients being treated for active TB. It appears to be safer than alcohol abuse combined with isoniazid treatment.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antiretroviral medications for HIV/AIDS- There are no known interactions that exist between INH and the antiretroviral medications used for the treatment of HIV infection. </w:t>
      </w:r>
    </w:p>
    <w:p w:rsidR="007579F1" w:rsidRPr="006320C9" w:rsidRDefault="007579F1" w:rsidP="007579F1">
      <w:pPr>
        <w:autoSpaceDE w:val="0"/>
        <w:autoSpaceDN w:val="0"/>
        <w:adjustRightInd w:val="0"/>
        <w:spacing w:after="160"/>
        <w:ind w:left="1080" w:hanging="360"/>
        <w:rPr>
          <w:rFonts w:ascii="Garamond" w:hAnsi="Garamond" w:cs="Garamond"/>
          <w:color w:val="000000"/>
          <w:sz w:val="23"/>
          <w:szCs w:val="23"/>
        </w:rPr>
      </w:pPr>
      <w:r w:rsidRPr="006320C9">
        <w:rPr>
          <w:rFonts w:ascii="Wingdings" w:hAnsi="Wingdings" w:cs="Wingdings"/>
          <w:color w:val="000000"/>
          <w:sz w:val="23"/>
          <w:szCs w:val="23"/>
        </w:rPr>
        <w:t>􀂃</w:t>
      </w:r>
      <w:r w:rsidRPr="006320C9">
        <w:rPr>
          <w:rFonts w:ascii="Wingdings" w:hAnsi="Wingdings" w:cs="Wingdings"/>
          <w:color w:val="000000"/>
          <w:sz w:val="23"/>
          <w:szCs w:val="23"/>
        </w:rPr>
        <w:t></w:t>
      </w:r>
      <w:r w:rsidRPr="006320C9">
        <w:rPr>
          <w:rFonts w:ascii="Garamond" w:hAnsi="Garamond" w:cs="Garamond"/>
          <w:color w:val="000000"/>
          <w:sz w:val="23"/>
          <w:szCs w:val="23"/>
        </w:rPr>
        <w:t xml:space="preserve">acetaminophen- It is important to caution patients/parents about excessive use of acetaminophen, and that ibuprofen is a better choice while taking isoniazid. </w:t>
      </w:r>
    </w:p>
    <w:p w:rsidR="007579F1" w:rsidRPr="006320C9" w:rsidRDefault="007579F1" w:rsidP="007579F1">
      <w:pPr>
        <w:autoSpaceDE w:val="0"/>
        <w:autoSpaceDN w:val="0"/>
        <w:adjustRightInd w:val="0"/>
        <w:rPr>
          <w:rFonts w:ascii="Garamond" w:hAnsi="Garamond" w:cs="Garamond"/>
          <w:color w:val="000000"/>
          <w:sz w:val="23"/>
          <w:szCs w:val="23"/>
        </w:rPr>
      </w:pPr>
    </w:p>
    <w:p w:rsidR="007579F1" w:rsidRPr="006320C9" w:rsidRDefault="007579F1" w:rsidP="007579F1">
      <w:pPr>
        <w:autoSpaceDE w:val="0"/>
        <w:autoSpaceDN w:val="0"/>
        <w:adjustRightInd w:val="0"/>
        <w:spacing w:before="240" w:after="60"/>
        <w:rPr>
          <w:rFonts w:ascii="Arial" w:hAnsi="Arial" w:cs="Arial"/>
          <w:color w:val="000000"/>
          <w:sz w:val="28"/>
          <w:szCs w:val="28"/>
        </w:rPr>
      </w:pPr>
      <w:bookmarkStart w:id="10" w:name="Dispensing"/>
      <w:bookmarkEnd w:id="10"/>
      <w:r w:rsidRPr="006320C9">
        <w:rPr>
          <w:rFonts w:ascii="Arial" w:hAnsi="Arial" w:cs="Arial"/>
          <w:b/>
          <w:bCs/>
          <w:i/>
          <w:iCs/>
          <w:color w:val="000000"/>
          <w:sz w:val="28"/>
          <w:szCs w:val="28"/>
        </w:rPr>
        <w:t xml:space="preserve">E. Dispensing LTBI Medications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lastRenderedPageBreak/>
        <w:t xml:space="preserve">The following medications should be dispensed in the same way as all other clinic medications. The patient should see the RN or provider monthly to receive refills/prescriptions. Only one month of medication should be given at a time with no refills. </w:t>
      </w:r>
    </w:p>
    <w:p w:rsidR="007579F1" w:rsidRPr="006320C9"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t xml:space="preserve">Isoniazid (INH) - 300 mg scored tablets in bottles of #30 </w:t>
      </w:r>
    </w:p>
    <w:p w:rsidR="007579F1" w:rsidRDefault="007579F1" w:rsidP="007579F1">
      <w:pPr>
        <w:autoSpaceDE w:val="0"/>
        <w:autoSpaceDN w:val="0"/>
        <w:adjustRightInd w:val="0"/>
        <w:spacing w:after="160"/>
        <w:ind w:left="360"/>
        <w:rPr>
          <w:rFonts w:ascii="Garamond" w:hAnsi="Garamond" w:cs="Garamond"/>
          <w:color w:val="000000"/>
          <w:sz w:val="23"/>
          <w:szCs w:val="23"/>
        </w:rPr>
      </w:pPr>
      <w:r w:rsidRPr="006320C9">
        <w:rPr>
          <w:rFonts w:ascii="Garamond" w:hAnsi="Garamond" w:cs="Garamond"/>
          <w:color w:val="000000"/>
          <w:sz w:val="23"/>
          <w:szCs w:val="23"/>
        </w:rPr>
        <w:t>Isoniazid (INH) - 100 mg scored tablets in stock bottles of #100. These will need to be repackaged by the pharmacy into a qu</w:t>
      </w:r>
      <w:r>
        <w:rPr>
          <w:rFonts w:ascii="Garamond" w:hAnsi="Garamond" w:cs="Garamond"/>
          <w:color w:val="000000"/>
          <w:sz w:val="23"/>
          <w:szCs w:val="23"/>
        </w:rPr>
        <w:t xml:space="preserve">antity sufficient for 30 days. </w:t>
      </w:r>
    </w:p>
    <w:p w:rsidR="006C6ADC" w:rsidRDefault="007579F1" w:rsidP="007579F1">
      <w:pPr>
        <w:autoSpaceDE w:val="0"/>
        <w:autoSpaceDN w:val="0"/>
        <w:adjustRightInd w:val="0"/>
        <w:spacing w:after="160"/>
        <w:ind w:left="720"/>
        <w:rPr>
          <w:rFonts w:ascii="Garamond" w:hAnsi="Garamond" w:cs="Garamond"/>
          <w:color w:val="000000"/>
          <w:sz w:val="23"/>
          <w:szCs w:val="23"/>
        </w:rPr>
      </w:pPr>
      <w:r w:rsidRPr="006320C9">
        <w:rPr>
          <w:rFonts w:ascii="Garamond" w:hAnsi="Garamond" w:cs="Garamond"/>
          <w:color w:val="000000"/>
          <w:sz w:val="23"/>
          <w:szCs w:val="23"/>
        </w:rPr>
        <w:t>Pyridoxine (Vitamin B6) - 25 mg bottles of #30. Not typically given to children, but used occasionally</w:t>
      </w:r>
    </w:p>
    <w:p w:rsidR="007579F1" w:rsidRDefault="007579F1" w:rsidP="007579F1">
      <w:pPr>
        <w:autoSpaceDE w:val="0"/>
        <w:autoSpaceDN w:val="0"/>
        <w:adjustRightInd w:val="0"/>
        <w:spacing w:after="160"/>
        <w:ind w:left="720"/>
        <w:rPr>
          <w:rFonts w:ascii="Garamond" w:hAnsi="Garamond" w:cs="Garamond"/>
          <w:color w:val="000000"/>
          <w:sz w:val="23"/>
          <w:szCs w:val="23"/>
        </w:rPr>
      </w:pPr>
    </w:p>
    <w:p w:rsidR="007579F1" w:rsidRPr="003E5D44" w:rsidRDefault="007579F1" w:rsidP="007579F1">
      <w:pPr>
        <w:widowControl w:val="0"/>
        <w:tabs>
          <w:tab w:val="right" w:pos="10260"/>
        </w:tabs>
        <w:spacing w:before="20" w:after="20"/>
        <w:rPr>
          <w:rFonts w:ascii="Garamond" w:hAnsi="Garamond"/>
          <w:b/>
          <w:smallCaps/>
          <w:snapToGrid w:val="0"/>
          <w:sz w:val="22"/>
          <w:szCs w:val="22"/>
          <w:u w:val="single"/>
        </w:rPr>
      </w:pPr>
      <w:r w:rsidRPr="003E5D44">
        <w:rPr>
          <w:rFonts w:ascii="Garamond" w:hAnsi="Garamond"/>
          <w:b/>
          <w:smallCaps/>
          <w:snapToGrid w:val="0"/>
          <w:sz w:val="22"/>
          <w:szCs w:val="22"/>
          <w:u w:val="single"/>
        </w:rPr>
        <w:t>INH Instructions on how to take INH</w:t>
      </w:r>
      <w:r w:rsidRPr="003E5D44">
        <w:rPr>
          <w:rFonts w:ascii="Garamond" w:hAnsi="Garamond"/>
          <w:smallCaps/>
          <w:snapToGrid w:val="0"/>
          <w:sz w:val="22"/>
          <w:szCs w:val="22"/>
        </w:rPr>
        <w:t xml:space="preserve"> (</w:t>
      </w:r>
      <w:r w:rsidRPr="003E5D44">
        <w:rPr>
          <w:rFonts w:ascii="Garamond" w:hAnsi="Garamond"/>
          <w:sz w:val="22"/>
          <w:szCs w:val="22"/>
        </w:rPr>
        <w:t>2.6.2)</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Take 1 pill every day</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Try to take INH at the same time every day</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If you miss a day, do not take extra amounts of the medicine</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Try to take INHG two (2) hours before or after you eat</w:t>
      </w:r>
    </w:p>
    <w:p w:rsidR="007579F1" w:rsidRPr="003E5D44" w:rsidRDefault="0067515B" w:rsidP="007579F1">
      <w:pPr>
        <w:numPr>
          <w:ilvl w:val="0"/>
          <w:numId w:val="6"/>
        </w:numPr>
        <w:tabs>
          <w:tab w:val="num" w:pos="360"/>
        </w:tabs>
        <w:ind w:left="360"/>
        <w:rPr>
          <w:rFonts w:ascii="Garamond" w:hAnsi="Garamond"/>
          <w:sz w:val="22"/>
          <w:szCs w:val="22"/>
        </w:rPr>
      </w:pPr>
      <w:r>
        <w:rPr>
          <w:rFonts w:ascii="Garamond" w:hAnsi="Garamond"/>
          <w:sz w:val="22"/>
          <w:szCs w:val="22"/>
        </w:rPr>
        <w:t xml:space="preserve">Take Vitamin B6 </w:t>
      </w:r>
      <w:r w:rsidR="007579F1" w:rsidRPr="003E5D44">
        <w:rPr>
          <w:rFonts w:ascii="Garamond" w:hAnsi="Garamond"/>
          <w:sz w:val="22"/>
          <w:szCs w:val="22"/>
        </w:rPr>
        <w:t xml:space="preserve"> along with the INH if not a child.</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Avoid alcohol while taking INH</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Your dose is ________mg every day</w:t>
      </w:r>
    </w:p>
    <w:p w:rsidR="007579F1" w:rsidRPr="003E5D44" w:rsidRDefault="007579F1" w:rsidP="007579F1">
      <w:pPr>
        <w:numPr>
          <w:ilvl w:val="0"/>
          <w:numId w:val="6"/>
        </w:numPr>
        <w:tabs>
          <w:tab w:val="num" w:pos="360"/>
        </w:tabs>
        <w:ind w:left="360"/>
        <w:rPr>
          <w:rFonts w:ascii="Garamond" w:hAnsi="Garamond"/>
          <w:sz w:val="22"/>
          <w:szCs w:val="22"/>
        </w:rPr>
      </w:pPr>
      <w:r w:rsidRPr="003E5D44">
        <w:rPr>
          <w:rFonts w:ascii="Garamond" w:hAnsi="Garamond"/>
          <w:sz w:val="22"/>
          <w:szCs w:val="22"/>
        </w:rPr>
        <w:t>You will take INH for _______ months.</w:t>
      </w:r>
    </w:p>
    <w:p w:rsidR="007579F1" w:rsidRPr="003E5D44" w:rsidRDefault="007579F1" w:rsidP="007579F1">
      <w:pPr>
        <w:widowControl w:val="0"/>
        <w:numPr>
          <w:ilvl w:val="0"/>
          <w:numId w:val="6"/>
        </w:numPr>
        <w:tabs>
          <w:tab w:val="clear" w:pos="720"/>
          <w:tab w:val="num" w:pos="360"/>
        </w:tabs>
        <w:ind w:left="360"/>
        <w:rPr>
          <w:rFonts w:ascii="Garamond" w:hAnsi="Garamond"/>
          <w:snapToGrid w:val="0"/>
          <w:sz w:val="22"/>
          <w:szCs w:val="22"/>
        </w:rPr>
      </w:pPr>
      <w:r w:rsidRPr="003E5D44">
        <w:rPr>
          <w:rFonts w:ascii="Garamond" w:hAnsi="Garamond"/>
          <w:sz w:val="22"/>
          <w:szCs w:val="22"/>
        </w:rPr>
        <w:t>Do LFT’s if symptomatic or history of liver problems.</w:t>
      </w:r>
    </w:p>
    <w:p w:rsidR="007579F1" w:rsidRPr="003E5D44" w:rsidRDefault="007579F1" w:rsidP="007579F1">
      <w:pPr>
        <w:widowControl w:val="0"/>
        <w:rPr>
          <w:rFonts w:ascii="Garamond" w:hAnsi="Garamond"/>
          <w:snapToGrid w:val="0"/>
          <w:sz w:val="22"/>
          <w:szCs w:val="22"/>
        </w:rPr>
      </w:pPr>
    </w:p>
    <w:p w:rsidR="007579F1" w:rsidRPr="003E5D44" w:rsidRDefault="007579F1" w:rsidP="007579F1">
      <w:pPr>
        <w:pStyle w:val="Heading1"/>
        <w:spacing w:before="20" w:after="20"/>
        <w:rPr>
          <w:rFonts w:ascii="Garamond" w:hAnsi="Garamond"/>
          <w:sz w:val="22"/>
          <w:szCs w:val="22"/>
          <w:u w:val="single"/>
        </w:rPr>
      </w:pPr>
      <w:r w:rsidRPr="003E5D44">
        <w:rPr>
          <w:rFonts w:ascii="Garamond" w:hAnsi="Garamond"/>
          <w:sz w:val="22"/>
          <w:szCs w:val="22"/>
          <w:u w:val="single"/>
        </w:rPr>
        <w:t>Possible side effects</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Rash</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Nausea/Vomiting</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Fever Feeling unusually tired</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Numbness or tingling in arms/legs</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Yellowing of skin/eyes</w:t>
      </w:r>
    </w:p>
    <w:p w:rsidR="007579F1" w:rsidRPr="003E5D44" w:rsidRDefault="007579F1" w:rsidP="007579F1">
      <w:pPr>
        <w:numPr>
          <w:ilvl w:val="0"/>
          <w:numId w:val="7"/>
        </w:numPr>
        <w:tabs>
          <w:tab w:val="clear" w:pos="15"/>
          <w:tab w:val="num" w:pos="360"/>
        </w:tabs>
        <w:ind w:left="360" w:hanging="374"/>
        <w:rPr>
          <w:rFonts w:ascii="Garamond" w:hAnsi="Garamond"/>
          <w:sz w:val="22"/>
          <w:szCs w:val="22"/>
        </w:rPr>
      </w:pPr>
      <w:r w:rsidRPr="003E5D44">
        <w:rPr>
          <w:rFonts w:ascii="Garamond" w:hAnsi="Garamond"/>
          <w:sz w:val="22"/>
          <w:szCs w:val="22"/>
        </w:rPr>
        <w:t>Dark urine like coffee or tea</w:t>
      </w:r>
    </w:p>
    <w:p w:rsidR="007579F1" w:rsidRPr="007015B6" w:rsidRDefault="007579F1" w:rsidP="007579F1">
      <w:pPr>
        <w:pStyle w:val="BodyTextIndent"/>
        <w:spacing w:before="20" w:after="20" w:line="240" w:lineRule="auto"/>
        <w:ind w:left="0"/>
        <w:rPr>
          <w:rFonts w:ascii="Garamond" w:hAnsi="Garamond"/>
          <w:b/>
          <w:smallCaps/>
          <w:sz w:val="22"/>
          <w:szCs w:val="22"/>
          <w:u w:val="single"/>
        </w:rPr>
      </w:pPr>
    </w:p>
    <w:p w:rsidR="007579F1" w:rsidRPr="003E5D44" w:rsidRDefault="007579F1" w:rsidP="007579F1">
      <w:pPr>
        <w:pStyle w:val="BodyTextIndent"/>
        <w:spacing w:before="20" w:after="20" w:line="240" w:lineRule="auto"/>
        <w:ind w:left="0"/>
        <w:rPr>
          <w:rFonts w:ascii="Garamond" w:hAnsi="Garamond"/>
          <w:b/>
          <w:smallCaps/>
          <w:sz w:val="22"/>
          <w:szCs w:val="22"/>
          <w:u w:val="single"/>
          <w:lang w:val="es-MX"/>
        </w:rPr>
      </w:pPr>
      <w:bookmarkStart w:id="11" w:name="INH_instructionsSP"/>
      <w:bookmarkEnd w:id="11"/>
      <w:r w:rsidRPr="003E5D44">
        <w:rPr>
          <w:rFonts w:ascii="Garamond" w:hAnsi="Garamond"/>
          <w:b/>
          <w:smallCaps/>
          <w:sz w:val="22"/>
          <w:szCs w:val="22"/>
          <w:u w:val="single"/>
          <w:lang w:val="es-MX"/>
        </w:rPr>
        <w:t>INH instrucciones para como tomar INH</w:t>
      </w:r>
      <w:r w:rsidRPr="003E5D44">
        <w:rPr>
          <w:rFonts w:ascii="Garamond" w:hAnsi="Garamond"/>
          <w:smallCaps/>
          <w:sz w:val="22"/>
          <w:szCs w:val="22"/>
          <w:lang w:val="es-MX"/>
        </w:rPr>
        <w:t xml:space="preserve"> (</w:t>
      </w:r>
      <w:r w:rsidRPr="003E5D44">
        <w:rPr>
          <w:rFonts w:ascii="Garamond" w:hAnsi="Garamond"/>
          <w:sz w:val="22"/>
          <w:szCs w:val="22"/>
          <w:lang w:val="es-MX"/>
        </w:rPr>
        <w:t>2.6.3)</w:t>
      </w:r>
    </w:p>
    <w:p w:rsidR="007579F1" w:rsidRPr="003E5D44" w:rsidRDefault="007579F1" w:rsidP="007579F1">
      <w:pPr>
        <w:numPr>
          <w:ilvl w:val="0"/>
          <w:numId w:val="8"/>
        </w:numPr>
        <w:rPr>
          <w:rFonts w:ascii="Garamond" w:hAnsi="Garamond"/>
          <w:b/>
          <w:sz w:val="22"/>
          <w:szCs w:val="22"/>
        </w:rPr>
      </w:pPr>
      <w:r w:rsidRPr="003E5D44">
        <w:rPr>
          <w:rFonts w:ascii="Garamond" w:hAnsi="Garamond"/>
          <w:sz w:val="22"/>
          <w:szCs w:val="22"/>
        </w:rPr>
        <w:t xml:space="preserve">Tome </w:t>
      </w:r>
      <w:r w:rsidRPr="003E5D44">
        <w:rPr>
          <w:rFonts w:ascii="Garamond" w:hAnsi="Garamond"/>
          <w:sz w:val="22"/>
          <w:szCs w:val="22"/>
          <w:lang w:val="es-MX"/>
        </w:rPr>
        <w:t>una pastilla diariamente</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Trate de tomarla a la misma hora todos los días</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Si se olvida un día, no tome 2 pastillas</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Trate de tomarla 2 horas antes o después de comer</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Tome la vitamina B6 junto con el INH</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No consuma bebidas alcohólicas mientras esta tomando INH</w:t>
      </w:r>
    </w:p>
    <w:p w:rsidR="007579F1" w:rsidRPr="003E5D44" w:rsidRDefault="007579F1" w:rsidP="007579F1">
      <w:pPr>
        <w:numPr>
          <w:ilvl w:val="0"/>
          <w:numId w:val="8"/>
        </w:numPr>
        <w:rPr>
          <w:rFonts w:ascii="Garamond" w:hAnsi="Garamond"/>
          <w:b/>
          <w:sz w:val="22"/>
          <w:szCs w:val="22"/>
        </w:rPr>
      </w:pPr>
      <w:r w:rsidRPr="003E5D44">
        <w:rPr>
          <w:rFonts w:ascii="Garamond" w:hAnsi="Garamond"/>
          <w:sz w:val="22"/>
          <w:szCs w:val="22"/>
        </w:rPr>
        <w:t xml:space="preserve">El </w:t>
      </w:r>
      <w:r w:rsidRPr="003E5D44">
        <w:rPr>
          <w:rFonts w:ascii="Garamond" w:hAnsi="Garamond"/>
          <w:sz w:val="22"/>
          <w:szCs w:val="22"/>
          <w:lang w:val="es-MX"/>
        </w:rPr>
        <w:t>tratamiento</w:t>
      </w:r>
      <w:r w:rsidRPr="003E5D44">
        <w:rPr>
          <w:rFonts w:ascii="Garamond" w:hAnsi="Garamond"/>
          <w:sz w:val="22"/>
          <w:szCs w:val="22"/>
        </w:rPr>
        <w:t xml:space="preserve"> </w:t>
      </w:r>
      <w:r w:rsidRPr="003E5D44">
        <w:rPr>
          <w:rFonts w:ascii="Garamond" w:hAnsi="Garamond"/>
          <w:sz w:val="22"/>
          <w:szCs w:val="22"/>
          <w:lang w:val="es-MX"/>
        </w:rPr>
        <w:t>es</w:t>
      </w:r>
      <w:r w:rsidRPr="003E5D44">
        <w:rPr>
          <w:rFonts w:ascii="Garamond" w:hAnsi="Garamond"/>
          <w:sz w:val="22"/>
          <w:szCs w:val="22"/>
        </w:rPr>
        <w:t xml:space="preserve"> </w:t>
      </w:r>
      <w:r w:rsidRPr="003E5D44">
        <w:rPr>
          <w:rFonts w:ascii="Garamond" w:hAnsi="Garamond"/>
          <w:sz w:val="22"/>
          <w:szCs w:val="22"/>
          <w:lang w:val="es-MX"/>
        </w:rPr>
        <w:t>por</w:t>
      </w:r>
      <w:r w:rsidRPr="003E5D44">
        <w:rPr>
          <w:rFonts w:ascii="Garamond" w:hAnsi="Garamond"/>
          <w:sz w:val="22"/>
          <w:szCs w:val="22"/>
        </w:rPr>
        <w:t xml:space="preserve"> _____________ </w:t>
      </w:r>
      <w:r w:rsidRPr="003E5D44">
        <w:rPr>
          <w:rFonts w:ascii="Garamond" w:hAnsi="Garamond"/>
          <w:sz w:val="22"/>
          <w:szCs w:val="22"/>
          <w:lang w:val="es-MX"/>
        </w:rPr>
        <w:t>meses</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Su dosis es de ________________mg al día</w:t>
      </w:r>
    </w:p>
    <w:p w:rsidR="007579F1" w:rsidRPr="003E5D44" w:rsidRDefault="007579F1" w:rsidP="007579F1">
      <w:pPr>
        <w:numPr>
          <w:ilvl w:val="0"/>
          <w:numId w:val="8"/>
        </w:numPr>
        <w:rPr>
          <w:rFonts w:ascii="Garamond" w:hAnsi="Garamond"/>
          <w:b/>
          <w:sz w:val="22"/>
          <w:szCs w:val="22"/>
          <w:lang w:val="es-MX"/>
        </w:rPr>
      </w:pPr>
      <w:r w:rsidRPr="003E5D44">
        <w:rPr>
          <w:rFonts w:ascii="Garamond" w:hAnsi="Garamond"/>
          <w:sz w:val="22"/>
          <w:szCs w:val="22"/>
          <w:lang w:val="es-MX"/>
        </w:rPr>
        <w:t>Haga LFT’s si es sintomático o si tiene historia de problemas con el hígado</w:t>
      </w:r>
    </w:p>
    <w:p w:rsidR="007579F1" w:rsidRPr="003E5D44" w:rsidRDefault="007579F1" w:rsidP="007579F1">
      <w:pPr>
        <w:spacing w:before="20" w:after="20"/>
        <w:rPr>
          <w:rFonts w:ascii="Garamond" w:hAnsi="Garamond"/>
          <w:sz w:val="22"/>
          <w:szCs w:val="22"/>
          <w:lang w:val="es-MX"/>
        </w:rPr>
      </w:pPr>
    </w:p>
    <w:p w:rsidR="007579F1" w:rsidRPr="003E5D44" w:rsidRDefault="007579F1" w:rsidP="007579F1">
      <w:pPr>
        <w:pStyle w:val="Heading1"/>
        <w:spacing w:before="20" w:after="20"/>
        <w:ind w:left="360"/>
        <w:rPr>
          <w:rFonts w:ascii="Garamond" w:hAnsi="Garamond"/>
          <w:sz w:val="22"/>
          <w:szCs w:val="22"/>
          <w:u w:val="single"/>
        </w:rPr>
      </w:pPr>
      <w:r w:rsidRPr="003E5D44">
        <w:rPr>
          <w:rFonts w:ascii="Garamond" w:hAnsi="Garamond"/>
          <w:sz w:val="22"/>
          <w:szCs w:val="22"/>
          <w:u w:val="single"/>
        </w:rPr>
        <w:t>Efectos secundarios posibles</w:t>
      </w:r>
    </w:p>
    <w:p w:rsidR="007579F1" w:rsidRPr="003E5D44" w:rsidRDefault="007579F1" w:rsidP="007579F1">
      <w:pPr>
        <w:numPr>
          <w:ilvl w:val="0"/>
          <w:numId w:val="9"/>
        </w:numPr>
        <w:rPr>
          <w:rFonts w:ascii="Garamond" w:hAnsi="Garamond"/>
          <w:sz w:val="22"/>
          <w:szCs w:val="22"/>
          <w:lang w:val="es-MX"/>
        </w:rPr>
      </w:pPr>
      <w:r w:rsidRPr="003E5D44">
        <w:rPr>
          <w:rFonts w:ascii="Garamond" w:hAnsi="Garamond"/>
          <w:sz w:val="22"/>
          <w:szCs w:val="22"/>
          <w:lang w:val="es-MX"/>
        </w:rPr>
        <w:t>Sarpullido, Erupción de la piel, Picazón</w:t>
      </w:r>
    </w:p>
    <w:p w:rsidR="007579F1" w:rsidRPr="003E5D44" w:rsidRDefault="007579F1" w:rsidP="007579F1">
      <w:pPr>
        <w:numPr>
          <w:ilvl w:val="0"/>
          <w:numId w:val="9"/>
        </w:numPr>
        <w:rPr>
          <w:rFonts w:ascii="Garamond" w:hAnsi="Garamond"/>
          <w:sz w:val="22"/>
          <w:szCs w:val="22"/>
        </w:rPr>
      </w:pPr>
      <w:r w:rsidRPr="003E5D44">
        <w:rPr>
          <w:rFonts w:ascii="Garamond" w:hAnsi="Garamond"/>
          <w:sz w:val="22"/>
          <w:szCs w:val="22"/>
        </w:rPr>
        <w:t xml:space="preserve">Nauseas o </w:t>
      </w:r>
      <w:r w:rsidRPr="003E5D44">
        <w:rPr>
          <w:rFonts w:ascii="Garamond" w:hAnsi="Garamond"/>
          <w:sz w:val="22"/>
          <w:szCs w:val="22"/>
          <w:lang w:val="es-MX"/>
        </w:rPr>
        <w:t>Vómito</w:t>
      </w:r>
    </w:p>
    <w:p w:rsidR="007579F1" w:rsidRPr="003E5D44" w:rsidRDefault="007579F1" w:rsidP="007579F1">
      <w:pPr>
        <w:numPr>
          <w:ilvl w:val="0"/>
          <w:numId w:val="9"/>
        </w:numPr>
        <w:rPr>
          <w:rFonts w:ascii="Garamond" w:hAnsi="Garamond"/>
          <w:sz w:val="22"/>
          <w:szCs w:val="22"/>
        </w:rPr>
      </w:pPr>
      <w:r w:rsidRPr="003E5D44">
        <w:rPr>
          <w:rFonts w:ascii="Garamond" w:hAnsi="Garamond"/>
          <w:sz w:val="22"/>
          <w:szCs w:val="22"/>
          <w:lang w:val="es-MX"/>
        </w:rPr>
        <w:t>Fiebre</w:t>
      </w:r>
    </w:p>
    <w:p w:rsidR="007579F1" w:rsidRPr="003E5D44" w:rsidRDefault="007579F1" w:rsidP="007579F1">
      <w:pPr>
        <w:numPr>
          <w:ilvl w:val="0"/>
          <w:numId w:val="9"/>
        </w:numPr>
        <w:rPr>
          <w:rFonts w:ascii="Garamond" w:hAnsi="Garamond"/>
          <w:sz w:val="22"/>
          <w:szCs w:val="22"/>
          <w:lang w:val="es-MX"/>
        </w:rPr>
      </w:pPr>
      <w:r w:rsidRPr="003E5D44">
        <w:rPr>
          <w:rFonts w:ascii="Garamond" w:hAnsi="Garamond"/>
          <w:sz w:val="22"/>
          <w:szCs w:val="22"/>
          <w:lang w:val="es-MX"/>
        </w:rPr>
        <w:t>Ictericia (piel amarilla o lo blanco del ojo amarillo)</w:t>
      </w:r>
    </w:p>
    <w:p w:rsidR="007579F1" w:rsidRPr="003E5D44" w:rsidRDefault="007579F1" w:rsidP="007579F1">
      <w:pPr>
        <w:numPr>
          <w:ilvl w:val="0"/>
          <w:numId w:val="9"/>
        </w:numPr>
        <w:ind w:left="360" w:hanging="374"/>
        <w:rPr>
          <w:rFonts w:ascii="Garamond" w:hAnsi="Garamond"/>
          <w:sz w:val="22"/>
          <w:szCs w:val="22"/>
          <w:lang w:val="es-MX"/>
        </w:rPr>
      </w:pPr>
      <w:r w:rsidRPr="003E5D44">
        <w:rPr>
          <w:rFonts w:ascii="Garamond" w:hAnsi="Garamond"/>
          <w:sz w:val="22"/>
          <w:szCs w:val="22"/>
          <w:lang w:val="es-MX"/>
        </w:rPr>
        <w:t>Adormeciendo u hormigueo en los brazos o piernas</w:t>
      </w:r>
    </w:p>
    <w:p w:rsidR="007579F1" w:rsidRPr="003E5D44" w:rsidRDefault="007579F1" w:rsidP="007579F1">
      <w:pPr>
        <w:numPr>
          <w:ilvl w:val="0"/>
          <w:numId w:val="9"/>
        </w:numPr>
        <w:ind w:left="360" w:hanging="374"/>
        <w:rPr>
          <w:rFonts w:ascii="Garamond" w:hAnsi="Garamond"/>
          <w:sz w:val="22"/>
          <w:szCs w:val="22"/>
          <w:lang w:val="es-MX"/>
        </w:rPr>
      </w:pPr>
      <w:r w:rsidRPr="003E5D44">
        <w:rPr>
          <w:rFonts w:ascii="Garamond" w:hAnsi="Garamond"/>
          <w:sz w:val="22"/>
          <w:szCs w:val="22"/>
          <w:lang w:val="es-MX"/>
        </w:rPr>
        <w:lastRenderedPageBreak/>
        <w:t>Orina oscura de color del café o té</w:t>
      </w:r>
    </w:p>
    <w:p w:rsidR="007579F1" w:rsidRPr="003E5D44" w:rsidRDefault="007579F1" w:rsidP="007579F1">
      <w:pPr>
        <w:numPr>
          <w:ilvl w:val="0"/>
          <w:numId w:val="9"/>
        </w:numPr>
        <w:ind w:left="360" w:hanging="374"/>
        <w:rPr>
          <w:rFonts w:ascii="Garamond" w:hAnsi="Garamond"/>
          <w:sz w:val="22"/>
          <w:szCs w:val="22"/>
          <w:lang w:val="es-MX"/>
        </w:rPr>
      </w:pPr>
      <w:r w:rsidRPr="003E5D44">
        <w:rPr>
          <w:rFonts w:ascii="Garamond" w:hAnsi="Garamond"/>
          <w:sz w:val="22"/>
          <w:szCs w:val="22"/>
          <w:lang w:val="es-MX"/>
        </w:rPr>
        <w:t>Sentirse más cansado de lo común</w:t>
      </w:r>
    </w:p>
    <w:p w:rsidR="007579F1" w:rsidRPr="007B5630" w:rsidRDefault="007579F1" w:rsidP="007579F1">
      <w:pPr>
        <w:pStyle w:val="BodyTextIndent2"/>
        <w:spacing w:before="20" w:after="20" w:line="240" w:lineRule="auto"/>
        <w:ind w:left="0"/>
        <w:rPr>
          <w:rFonts w:ascii="Garamond" w:hAnsi="Garamond"/>
          <w:snapToGrid/>
          <w:sz w:val="16"/>
          <w:szCs w:val="16"/>
          <w:lang w:val="es-MX"/>
        </w:rPr>
      </w:pPr>
    </w:p>
    <w:p w:rsidR="007579F1" w:rsidRDefault="007579F1" w:rsidP="007579F1">
      <w:pPr>
        <w:autoSpaceDE w:val="0"/>
        <w:autoSpaceDN w:val="0"/>
        <w:adjustRightInd w:val="0"/>
        <w:spacing w:after="160"/>
        <w:ind w:left="720"/>
        <w:rPr>
          <w:rFonts w:ascii="Garamond" w:hAnsi="Garamond" w:cs="Garamond"/>
          <w:b/>
          <w:bCs/>
          <w:sz w:val="23"/>
          <w:szCs w:val="23"/>
        </w:rPr>
      </w:pPr>
    </w:p>
    <w:p w:rsidR="007579F1" w:rsidRDefault="007579F1" w:rsidP="007579F1">
      <w:pPr>
        <w:autoSpaceDE w:val="0"/>
        <w:autoSpaceDN w:val="0"/>
        <w:adjustRightInd w:val="0"/>
        <w:spacing w:after="160"/>
        <w:ind w:left="720"/>
        <w:rPr>
          <w:rFonts w:ascii="Garamond" w:hAnsi="Garamond" w:cs="Garamond"/>
          <w:b/>
          <w:bCs/>
          <w:sz w:val="23"/>
          <w:szCs w:val="23"/>
        </w:rPr>
      </w:pPr>
    </w:p>
    <w:p w:rsidR="007579F1" w:rsidRDefault="00A816A1" w:rsidP="007579F1">
      <w:pPr>
        <w:autoSpaceDE w:val="0"/>
        <w:autoSpaceDN w:val="0"/>
        <w:adjustRightInd w:val="0"/>
        <w:spacing w:after="160"/>
        <w:ind w:left="720"/>
        <w:rPr>
          <w:rFonts w:ascii="Garamond" w:hAnsi="Garamond" w:cs="Garamond"/>
          <w:b/>
          <w:bCs/>
          <w:sz w:val="23"/>
          <w:szCs w:val="23"/>
        </w:rPr>
      </w:pPr>
      <w:r>
        <w:rPr>
          <w:rFonts w:ascii="Garamond" w:hAnsi="Garamond" w:cs="Garamond"/>
          <w:b/>
          <w:bCs/>
          <w:noProof/>
          <w:sz w:val="23"/>
          <w:szCs w:val="23"/>
        </w:rPr>
        <w:lastRenderedPageBreak/>
        <w:drawing>
          <wp:anchor distT="0" distB="0" distL="114300" distR="114300" simplePos="0" relativeHeight="251659264" behindDoc="1" locked="0" layoutInCell="1" allowOverlap="1">
            <wp:simplePos x="0" y="0"/>
            <wp:positionH relativeFrom="column">
              <wp:posOffset>-280670</wp:posOffset>
            </wp:positionH>
            <wp:positionV relativeFrom="paragraph">
              <wp:posOffset>-426085</wp:posOffset>
            </wp:positionV>
            <wp:extent cx="7539990" cy="9573260"/>
            <wp:effectExtent l="19050" t="0" r="3810" b="0"/>
            <wp:wrapThrough wrapText="bothSides">
              <wp:wrapPolygon edited="0">
                <wp:start x="-55" y="0"/>
                <wp:lineTo x="-55" y="21577"/>
                <wp:lineTo x="21611" y="21577"/>
                <wp:lineTo x="21611" y="0"/>
                <wp:lineTo x="-55" y="0"/>
              </wp:wrapPolygon>
            </wp:wrapThrough>
            <wp:docPr id="3" name="Picture 3" descr="TB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B Spanish"/>
                    <pic:cNvPicPr>
                      <a:picLocks noChangeAspect="1" noChangeArrowheads="1"/>
                    </pic:cNvPicPr>
                  </pic:nvPicPr>
                  <pic:blipFill>
                    <a:blip r:embed="rId5"/>
                    <a:srcRect/>
                    <a:stretch>
                      <a:fillRect/>
                    </a:stretch>
                  </pic:blipFill>
                  <pic:spPr bwMode="auto">
                    <a:xfrm>
                      <a:off x="0" y="0"/>
                      <a:ext cx="7539990" cy="9573260"/>
                    </a:xfrm>
                    <a:prstGeom prst="rect">
                      <a:avLst/>
                    </a:prstGeom>
                    <a:noFill/>
                    <a:ln w="9525">
                      <a:noFill/>
                      <a:miter lim="800000"/>
                      <a:headEnd/>
                      <a:tailEnd/>
                    </a:ln>
                  </pic:spPr>
                </pic:pic>
              </a:graphicData>
            </a:graphic>
          </wp:anchor>
        </w:drawing>
      </w:r>
    </w:p>
    <w:p w:rsidR="006C6ADC" w:rsidRDefault="006C6ADC" w:rsidP="006C6ADC">
      <w:pPr>
        <w:autoSpaceDE w:val="0"/>
        <w:autoSpaceDN w:val="0"/>
        <w:adjustRightInd w:val="0"/>
        <w:spacing w:after="160"/>
        <w:ind w:left="720"/>
        <w:rPr>
          <w:rFonts w:ascii="Garamond" w:hAnsi="Garamond" w:cs="Garamond"/>
          <w:b/>
          <w:bCs/>
          <w:sz w:val="23"/>
          <w:szCs w:val="23"/>
        </w:rPr>
      </w:pPr>
    </w:p>
    <w:p w:rsidR="006C6ADC" w:rsidRPr="008E3A08" w:rsidRDefault="00A816A1" w:rsidP="006C6ADC">
      <w:pPr>
        <w:autoSpaceDE w:val="0"/>
        <w:autoSpaceDN w:val="0"/>
        <w:adjustRightInd w:val="0"/>
        <w:spacing w:after="160"/>
        <w:ind w:left="720"/>
        <w:rPr>
          <w:rFonts w:ascii="Garamond" w:hAnsi="Garamond" w:cs="Garamond"/>
          <w:sz w:val="23"/>
          <w:szCs w:val="23"/>
        </w:rPr>
      </w:pPr>
      <w:r w:rsidRPr="00A816A1">
        <w:rPr>
          <w:rFonts w:ascii="Garamond" w:hAnsi="Garamond" w:cs="Garamond"/>
          <w:noProof/>
          <w:sz w:val="23"/>
          <w:szCs w:val="23"/>
        </w:rPr>
        <w:drawing>
          <wp:anchor distT="0" distB="0" distL="114300" distR="114300" simplePos="0" relativeHeight="251661312" behindDoc="1" locked="0" layoutInCell="1" allowOverlap="1">
            <wp:simplePos x="0" y="0"/>
            <wp:positionH relativeFrom="column">
              <wp:posOffset>-742950</wp:posOffset>
            </wp:positionH>
            <wp:positionV relativeFrom="paragraph">
              <wp:posOffset>753027</wp:posOffset>
            </wp:positionV>
            <wp:extent cx="7812985" cy="8261405"/>
            <wp:effectExtent l="19050" t="0" r="0" b="0"/>
            <wp:wrapThrough wrapText="bothSides">
              <wp:wrapPolygon edited="0">
                <wp:start x="-53" y="0"/>
                <wp:lineTo x="-53" y="21557"/>
                <wp:lineTo x="21593" y="21557"/>
                <wp:lineTo x="21593" y="0"/>
                <wp:lineTo x="-53" y="0"/>
              </wp:wrapPolygon>
            </wp:wrapThrough>
            <wp:docPr id="1" name="Picture 2" descr="TB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 English"/>
                    <pic:cNvPicPr>
                      <a:picLocks noChangeAspect="1" noChangeArrowheads="1"/>
                    </pic:cNvPicPr>
                  </pic:nvPicPr>
                  <pic:blipFill>
                    <a:blip r:embed="rId6"/>
                    <a:srcRect/>
                    <a:stretch>
                      <a:fillRect/>
                    </a:stretch>
                  </pic:blipFill>
                  <pic:spPr bwMode="auto">
                    <a:xfrm>
                      <a:off x="0" y="0"/>
                      <a:ext cx="7813040" cy="8265160"/>
                    </a:xfrm>
                    <a:prstGeom prst="rect">
                      <a:avLst/>
                    </a:prstGeom>
                    <a:noFill/>
                    <a:ln w="9525">
                      <a:noFill/>
                      <a:miter lim="800000"/>
                      <a:headEnd/>
                      <a:tailEnd/>
                    </a:ln>
                  </pic:spPr>
                </pic:pic>
              </a:graphicData>
            </a:graphic>
          </wp:anchor>
        </w:drawing>
      </w:r>
    </w:p>
    <w:p w:rsidR="006C6ADC" w:rsidRDefault="006C6ADC" w:rsidP="006C6ADC">
      <w:pPr>
        <w:autoSpaceDE w:val="0"/>
        <w:autoSpaceDN w:val="0"/>
        <w:adjustRightInd w:val="0"/>
        <w:spacing w:after="160"/>
        <w:ind w:left="720"/>
        <w:rPr>
          <w:rFonts w:ascii="Garamond" w:hAnsi="Garamond" w:cs="Garamond"/>
          <w:b/>
          <w:bCs/>
          <w:sz w:val="23"/>
          <w:szCs w:val="23"/>
        </w:rPr>
      </w:pPr>
    </w:p>
    <w:p w:rsidR="006C6ADC" w:rsidRDefault="006C6ADC" w:rsidP="006C6ADC">
      <w:pPr>
        <w:autoSpaceDE w:val="0"/>
        <w:autoSpaceDN w:val="0"/>
        <w:adjustRightInd w:val="0"/>
        <w:spacing w:after="160"/>
        <w:ind w:left="720"/>
        <w:rPr>
          <w:rFonts w:ascii="Garamond" w:hAnsi="Garamond" w:cs="Garamond"/>
          <w:b/>
          <w:bCs/>
          <w:sz w:val="23"/>
          <w:szCs w:val="23"/>
        </w:rPr>
      </w:pPr>
    </w:p>
    <w:p w:rsidR="00B548E9" w:rsidRDefault="00B548E9" w:rsidP="006C6ADC"/>
    <w:sectPr w:rsidR="00B548E9" w:rsidSect="00B54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ato">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E04B3"/>
    <w:multiLevelType w:val="hybridMultilevel"/>
    <w:tmpl w:val="F0B872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334AE4"/>
    <w:multiLevelType w:val="hybridMultilevel"/>
    <w:tmpl w:val="C28273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3749E3"/>
    <w:multiLevelType w:val="hybridMultilevel"/>
    <w:tmpl w:val="C426958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BA3F6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30FF55B8"/>
    <w:multiLevelType w:val="hybridMultilevel"/>
    <w:tmpl w:val="A494308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6135F1"/>
    <w:multiLevelType w:val="hybridMultilevel"/>
    <w:tmpl w:val="5B6E16B8"/>
    <w:lvl w:ilvl="0" w:tplc="0750F910">
      <w:numFmt w:val="bullet"/>
      <w:lvlText w:val=""/>
      <w:lvlJc w:val="left"/>
      <w:pPr>
        <w:tabs>
          <w:tab w:val="num" w:pos="15"/>
        </w:tabs>
        <w:ind w:left="15" w:hanging="375"/>
      </w:pPr>
      <w:rPr>
        <w:rFonts w:ascii="Wingdings" w:eastAsia="Times New Roman" w:hAnsi="Wingdings" w:cs="Times New Roman" w:hint="default"/>
        <w:sz w:val="22"/>
        <w:szCs w:val="22"/>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6C924BA"/>
    <w:multiLevelType w:val="hybridMultilevel"/>
    <w:tmpl w:val="FE28ECD6"/>
    <w:lvl w:ilvl="0" w:tplc="0750F910">
      <w:numFmt w:val="bullet"/>
      <w:lvlText w:val=""/>
      <w:lvlJc w:val="left"/>
      <w:pPr>
        <w:tabs>
          <w:tab w:val="num" w:pos="375"/>
        </w:tabs>
        <w:ind w:left="375" w:hanging="375"/>
      </w:pPr>
      <w:rPr>
        <w:rFonts w:ascii="Wingdings" w:eastAsia="Times New Roman" w:hAnsi="Wingdings"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9C73341"/>
    <w:multiLevelType w:val="hybridMultilevel"/>
    <w:tmpl w:val="09160F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124F0F"/>
    <w:multiLevelType w:val="hybridMultilevel"/>
    <w:tmpl w:val="4F3C29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305B0D"/>
    <w:multiLevelType w:val="hybridMultilevel"/>
    <w:tmpl w:val="A514A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4"/>
  </w:num>
  <w:num w:numId="5">
    <w:abstractNumId w:val="2"/>
  </w:num>
  <w:num w:numId="6">
    <w:abstractNumId w:val="3"/>
  </w:num>
  <w:num w:numId="7">
    <w:abstractNumId w:val="5"/>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ED78AD"/>
    <w:rsid w:val="00124D8C"/>
    <w:rsid w:val="0015408A"/>
    <w:rsid w:val="005D7A63"/>
    <w:rsid w:val="00667C2E"/>
    <w:rsid w:val="0067515B"/>
    <w:rsid w:val="00677700"/>
    <w:rsid w:val="006C6ADC"/>
    <w:rsid w:val="007579F1"/>
    <w:rsid w:val="009F17F3"/>
    <w:rsid w:val="00A6031C"/>
    <w:rsid w:val="00A816A1"/>
    <w:rsid w:val="00A81A8D"/>
    <w:rsid w:val="00AD02BB"/>
    <w:rsid w:val="00B548E9"/>
    <w:rsid w:val="00B57A9E"/>
    <w:rsid w:val="00D62D48"/>
    <w:rsid w:val="00E26029"/>
    <w:rsid w:val="00E95194"/>
    <w:rsid w:val="00ED78AD"/>
    <w:rsid w:val="00F67C44"/>
    <w:rsid w:val="00FD492C"/>
    <w:rsid w:val="00FD6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14:docId w14:val="5C1A9801"/>
  <w15:docId w15:val="{6CA3667E-B97D-4870-8D27-0DF378E5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8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579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D78AD"/>
    <w:pPr>
      <w:jc w:val="center"/>
    </w:pPr>
    <w:rPr>
      <w:b/>
      <w:bCs/>
    </w:rPr>
  </w:style>
  <w:style w:type="character" w:customStyle="1" w:styleId="TitleChar">
    <w:name w:val="Title Char"/>
    <w:basedOn w:val="DefaultParagraphFont"/>
    <w:link w:val="Title"/>
    <w:rsid w:val="00ED78AD"/>
    <w:rPr>
      <w:rFonts w:ascii="Times New Roman" w:eastAsia="Times New Roman" w:hAnsi="Times New Roman" w:cs="Times New Roman"/>
      <w:b/>
      <w:bCs/>
      <w:sz w:val="24"/>
      <w:szCs w:val="24"/>
    </w:rPr>
  </w:style>
  <w:style w:type="paragraph" w:styleId="Subtitle">
    <w:name w:val="Subtitle"/>
    <w:basedOn w:val="Normal"/>
    <w:link w:val="SubtitleChar"/>
    <w:qFormat/>
    <w:rsid w:val="00ED78AD"/>
    <w:pPr>
      <w:spacing w:line="360" w:lineRule="auto"/>
    </w:pPr>
    <w:rPr>
      <w:u w:val="single"/>
    </w:rPr>
  </w:style>
  <w:style w:type="character" w:customStyle="1" w:styleId="SubtitleChar">
    <w:name w:val="Subtitle Char"/>
    <w:basedOn w:val="DefaultParagraphFont"/>
    <w:link w:val="Subtitle"/>
    <w:rsid w:val="00ED78AD"/>
    <w:rPr>
      <w:rFonts w:ascii="Times New Roman" w:eastAsia="Times New Roman" w:hAnsi="Times New Roman" w:cs="Times New Roman"/>
      <w:sz w:val="24"/>
      <w:szCs w:val="24"/>
      <w:u w:val="single"/>
    </w:rPr>
  </w:style>
  <w:style w:type="character" w:styleId="Hyperlink">
    <w:name w:val="Hyperlink"/>
    <w:basedOn w:val="DefaultParagraphFont"/>
    <w:rsid w:val="00ED78AD"/>
    <w:rPr>
      <w:color w:val="0000FF"/>
      <w:u w:val="single"/>
    </w:rPr>
  </w:style>
  <w:style w:type="paragraph" w:customStyle="1" w:styleId="Default">
    <w:name w:val="Default"/>
    <w:rsid w:val="006C6ADC"/>
    <w:pPr>
      <w:autoSpaceDE w:val="0"/>
      <w:autoSpaceDN w:val="0"/>
      <w:adjustRightInd w:val="0"/>
      <w:spacing w:after="0" w:line="240" w:lineRule="auto"/>
    </w:pPr>
    <w:rPr>
      <w:rFonts w:ascii="Arial Black" w:eastAsia="Times New Roman" w:hAnsi="Arial Black" w:cs="Arial Black"/>
      <w:color w:val="000000"/>
      <w:sz w:val="24"/>
      <w:szCs w:val="24"/>
    </w:rPr>
  </w:style>
  <w:style w:type="character" w:customStyle="1" w:styleId="Heading1Char">
    <w:name w:val="Heading 1 Char"/>
    <w:basedOn w:val="DefaultParagraphFont"/>
    <w:link w:val="Heading1"/>
    <w:rsid w:val="007579F1"/>
    <w:rPr>
      <w:rFonts w:ascii="Arial" w:eastAsia="Times New Roman" w:hAnsi="Arial" w:cs="Arial"/>
      <w:b/>
      <w:bCs/>
      <w:kern w:val="32"/>
      <w:sz w:val="32"/>
      <w:szCs w:val="32"/>
    </w:rPr>
  </w:style>
  <w:style w:type="paragraph" w:styleId="BodyTextIndent">
    <w:name w:val="Body Text Indent"/>
    <w:basedOn w:val="Normal"/>
    <w:link w:val="BodyTextIndentChar"/>
    <w:rsid w:val="007579F1"/>
    <w:pPr>
      <w:widowControl w:val="0"/>
      <w:spacing w:line="513" w:lineRule="atLeast"/>
      <w:ind w:left="360"/>
    </w:pPr>
    <w:rPr>
      <w:snapToGrid w:val="0"/>
      <w:sz w:val="42"/>
    </w:rPr>
  </w:style>
  <w:style w:type="character" w:customStyle="1" w:styleId="BodyTextIndentChar">
    <w:name w:val="Body Text Indent Char"/>
    <w:basedOn w:val="DefaultParagraphFont"/>
    <w:link w:val="BodyTextIndent"/>
    <w:rsid w:val="007579F1"/>
    <w:rPr>
      <w:rFonts w:ascii="Times New Roman" w:eastAsia="Times New Roman" w:hAnsi="Times New Roman" w:cs="Times New Roman"/>
      <w:snapToGrid w:val="0"/>
      <w:sz w:val="42"/>
      <w:szCs w:val="24"/>
    </w:rPr>
  </w:style>
  <w:style w:type="paragraph" w:styleId="BodyTextIndent2">
    <w:name w:val="Body Text Indent 2"/>
    <w:basedOn w:val="Normal"/>
    <w:link w:val="BodyTextIndent2Char"/>
    <w:rsid w:val="007579F1"/>
    <w:pPr>
      <w:widowControl w:val="0"/>
      <w:spacing w:line="513" w:lineRule="atLeast"/>
      <w:ind w:left="360"/>
    </w:pPr>
    <w:rPr>
      <w:snapToGrid w:val="0"/>
      <w:sz w:val="44"/>
    </w:rPr>
  </w:style>
  <w:style w:type="character" w:customStyle="1" w:styleId="BodyTextIndent2Char">
    <w:name w:val="Body Text Indent 2 Char"/>
    <w:basedOn w:val="DefaultParagraphFont"/>
    <w:link w:val="BodyTextIndent2"/>
    <w:rsid w:val="007579F1"/>
    <w:rPr>
      <w:rFonts w:ascii="Times New Roman" w:eastAsia="Times New Roman" w:hAnsi="Times New Roman" w:cs="Times New Roman"/>
      <w:snapToGrid w:val="0"/>
      <w:sz w:val="44"/>
      <w:szCs w:val="24"/>
    </w:rPr>
  </w:style>
  <w:style w:type="paragraph" w:customStyle="1" w:styleId="CM7">
    <w:name w:val="CM7"/>
    <w:basedOn w:val="Default"/>
    <w:next w:val="Default"/>
    <w:uiPriority w:val="99"/>
    <w:rsid w:val="005D7A63"/>
    <w:pPr>
      <w:widowControl w:val="0"/>
    </w:pPr>
    <w:rPr>
      <w:rFonts w:ascii="Calibri" w:hAnsi="Calibri" w:cs="Times New Roman"/>
      <w:color w:val="auto"/>
    </w:rPr>
  </w:style>
  <w:style w:type="paragraph" w:customStyle="1" w:styleId="CM6">
    <w:name w:val="CM6"/>
    <w:basedOn w:val="Default"/>
    <w:next w:val="Default"/>
    <w:uiPriority w:val="99"/>
    <w:rsid w:val="005D7A63"/>
    <w:pPr>
      <w:widowControl w:val="0"/>
      <w:spacing w:line="271" w:lineRule="atLeast"/>
    </w:pPr>
    <w:rPr>
      <w:rFonts w:ascii="Calibri" w:hAnsi="Calibri" w:cs="Times New Roman"/>
      <w:color w:val="auto"/>
    </w:rPr>
  </w:style>
  <w:style w:type="paragraph" w:styleId="ListParagraph">
    <w:name w:val="List Paragraph"/>
    <w:basedOn w:val="Normal"/>
    <w:uiPriority w:val="34"/>
    <w:qFormat/>
    <w:rsid w:val="00E95194"/>
    <w:pPr>
      <w:ind w:left="720"/>
      <w:contextualSpacing/>
    </w:pPr>
  </w:style>
  <w:style w:type="character" w:styleId="Strong">
    <w:name w:val="Strong"/>
    <w:basedOn w:val="DefaultParagraphFont"/>
    <w:uiPriority w:val="22"/>
    <w:qFormat/>
    <w:rsid w:val="00FD492C"/>
    <w:rPr>
      <w:rFonts w:ascii="Lato" w:hAnsi="Lato" w:hint="default"/>
      <w:b/>
      <w:bCs/>
    </w:rPr>
  </w:style>
  <w:style w:type="paragraph" w:styleId="NormalWeb">
    <w:name w:val="Normal (Web)"/>
    <w:basedOn w:val="Normal"/>
    <w:uiPriority w:val="99"/>
    <w:unhideWhenUsed/>
    <w:rsid w:val="00FD492C"/>
    <w:pPr>
      <w:spacing w:after="240" w:line="31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966875">
      <w:bodyDiv w:val="1"/>
      <w:marLeft w:val="0"/>
      <w:marRight w:val="0"/>
      <w:marTop w:val="0"/>
      <w:marBottom w:val="0"/>
      <w:divBdr>
        <w:top w:val="none" w:sz="0" w:space="0" w:color="auto"/>
        <w:left w:val="none" w:sz="0" w:space="0" w:color="auto"/>
        <w:bottom w:val="none" w:sz="0" w:space="0" w:color="auto"/>
        <w:right w:val="none" w:sz="0" w:space="0" w:color="auto"/>
      </w:divBdr>
      <w:divsChild>
        <w:div w:id="2036610646">
          <w:marLeft w:val="0"/>
          <w:marRight w:val="0"/>
          <w:marTop w:val="0"/>
          <w:marBottom w:val="0"/>
          <w:divBdr>
            <w:top w:val="single" w:sz="36" w:space="0" w:color="075290"/>
            <w:left w:val="none" w:sz="0" w:space="0" w:color="auto"/>
            <w:bottom w:val="none" w:sz="0" w:space="0" w:color="auto"/>
            <w:right w:val="none" w:sz="0" w:space="0" w:color="auto"/>
          </w:divBdr>
          <w:divsChild>
            <w:div w:id="944263494">
              <w:marLeft w:val="0"/>
              <w:marRight w:val="0"/>
              <w:marTop w:val="0"/>
              <w:marBottom w:val="0"/>
              <w:divBdr>
                <w:top w:val="none" w:sz="0" w:space="0" w:color="auto"/>
                <w:left w:val="none" w:sz="0" w:space="0" w:color="auto"/>
                <w:bottom w:val="none" w:sz="0" w:space="0" w:color="auto"/>
                <w:right w:val="none" w:sz="0" w:space="0" w:color="auto"/>
              </w:divBdr>
              <w:divsChild>
                <w:div w:id="646664199">
                  <w:marLeft w:val="0"/>
                  <w:marRight w:val="0"/>
                  <w:marTop w:val="125"/>
                  <w:marBottom w:val="0"/>
                  <w:divBdr>
                    <w:top w:val="none" w:sz="0" w:space="0" w:color="auto"/>
                    <w:left w:val="none" w:sz="0" w:space="0" w:color="auto"/>
                    <w:bottom w:val="none" w:sz="0" w:space="0" w:color="auto"/>
                    <w:right w:val="none" w:sz="0" w:space="0" w:color="auto"/>
                  </w:divBdr>
                  <w:divsChild>
                    <w:div w:id="1870870229">
                      <w:marLeft w:val="-125"/>
                      <w:marRight w:val="0"/>
                      <w:marTop w:val="0"/>
                      <w:marBottom w:val="0"/>
                      <w:divBdr>
                        <w:top w:val="none" w:sz="0" w:space="0" w:color="auto"/>
                        <w:left w:val="none" w:sz="0" w:space="0" w:color="auto"/>
                        <w:bottom w:val="none" w:sz="0" w:space="0" w:color="auto"/>
                        <w:right w:val="none" w:sz="0" w:space="0" w:color="auto"/>
                      </w:divBdr>
                      <w:divsChild>
                        <w:div w:id="1715038281">
                          <w:marLeft w:val="0"/>
                          <w:marRight w:val="0"/>
                          <w:marTop w:val="0"/>
                          <w:marBottom w:val="0"/>
                          <w:divBdr>
                            <w:top w:val="none" w:sz="0" w:space="0" w:color="auto"/>
                            <w:left w:val="none" w:sz="0" w:space="0" w:color="auto"/>
                            <w:bottom w:val="none" w:sz="0" w:space="0" w:color="auto"/>
                            <w:right w:val="none" w:sz="0" w:space="0" w:color="auto"/>
                          </w:divBdr>
                          <w:divsChild>
                            <w:div w:id="1004818857">
                              <w:marLeft w:val="0"/>
                              <w:marRight w:val="0"/>
                              <w:marTop w:val="0"/>
                              <w:marBottom w:val="0"/>
                              <w:divBdr>
                                <w:top w:val="none" w:sz="0" w:space="0" w:color="auto"/>
                                <w:left w:val="none" w:sz="0" w:space="0" w:color="auto"/>
                                <w:bottom w:val="none" w:sz="0" w:space="0" w:color="auto"/>
                                <w:right w:val="none" w:sz="0" w:space="0" w:color="auto"/>
                              </w:divBdr>
                              <w:divsChild>
                                <w:div w:id="1665280365">
                                  <w:marLeft w:val="0"/>
                                  <w:marRight w:val="0"/>
                                  <w:marTop w:val="0"/>
                                  <w:marBottom w:val="0"/>
                                  <w:divBdr>
                                    <w:top w:val="none" w:sz="0" w:space="0" w:color="auto"/>
                                    <w:left w:val="none" w:sz="0" w:space="0" w:color="auto"/>
                                    <w:bottom w:val="none" w:sz="0" w:space="0" w:color="auto"/>
                                    <w:right w:val="none" w:sz="0" w:space="0" w:color="auto"/>
                                  </w:divBdr>
                                  <w:divsChild>
                                    <w:div w:id="35030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16</Pages>
  <Words>2921</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Rutilia Ayala</dc:creator>
  <cp:lastModifiedBy>Rutilia Ayala</cp:lastModifiedBy>
  <cp:revision>16</cp:revision>
  <dcterms:created xsi:type="dcterms:W3CDTF">2016-04-23T01:38:00Z</dcterms:created>
  <dcterms:modified xsi:type="dcterms:W3CDTF">2017-12-11T22:12:00Z</dcterms:modified>
</cp:coreProperties>
</file>